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0A9992B" w14:textId="301155A1" w:rsidR="00262021" w:rsidRPr="005975B1" w:rsidRDefault="005975B1" w:rsidP="005975B1">
      <w:pPr>
        <w:spacing w:line="480" w:lineRule="auto"/>
        <w:jc w:val="center"/>
        <w:rPr>
          <w:rFonts w:ascii="Times New Roman" w:hAnsi="Times New Roman" w:cs="Times New Roman"/>
          <w:b/>
          <w:bCs/>
          <w:sz w:val="24"/>
          <w:szCs w:val="24"/>
          <w:u w:val="single"/>
        </w:rPr>
      </w:pPr>
      <w:r w:rsidRPr="005975B1">
        <w:rPr>
          <w:rFonts w:ascii="Times New Roman" w:hAnsi="Times New Roman" w:cs="Times New Roman"/>
          <w:b/>
          <w:bCs/>
          <w:sz w:val="24"/>
          <w:szCs w:val="24"/>
          <w:u w:val="single"/>
        </w:rPr>
        <w:t>EUQ</w:t>
      </w:r>
      <w:r w:rsidR="00262021" w:rsidRPr="005975B1">
        <w:rPr>
          <w:rFonts w:ascii="Times New Roman" w:hAnsi="Times New Roman" w:cs="Times New Roman"/>
          <w:b/>
          <w:bCs/>
          <w:sz w:val="24"/>
          <w:szCs w:val="24"/>
          <w:u w:val="single"/>
        </w:rPr>
        <w:t>650 Reflection</w:t>
      </w:r>
    </w:p>
    <w:p w14:paraId="4401BDA8" w14:textId="6387E027" w:rsidR="00927F34" w:rsidRPr="00587B4D" w:rsidRDefault="00414726" w:rsidP="00587B4D">
      <w:pPr>
        <w:spacing w:line="480" w:lineRule="auto"/>
        <w:jc w:val="both"/>
        <w:rPr>
          <w:rFonts w:ascii="Times New Roman" w:hAnsi="Times New Roman" w:cs="Times New Roman"/>
          <w:sz w:val="24"/>
          <w:szCs w:val="24"/>
        </w:rPr>
      </w:pPr>
      <w:r w:rsidRPr="00587B4D">
        <w:rPr>
          <w:rFonts w:ascii="Times New Roman" w:hAnsi="Times New Roman" w:cs="Times New Roman"/>
          <w:sz w:val="24"/>
          <w:szCs w:val="24"/>
        </w:rPr>
        <w:t>Through the critical evaluations and ensuing discussions over the past few weeks, what has become clear is that there is a range of digital and online tools that may not have been intended for education, but definitely have a lot to offer in learning design. Specifically, these</w:t>
      </w:r>
      <w:r w:rsidR="00940BB6" w:rsidRPr="00587B4D">
        <w:rPr>
          <w:rFonts w:ascii="Times New Roman" w:hAnsi="Times New Roman" w:cs="Times New Roman"/>
          <w:sz w:val="24"/>
          <w:szCs w:val="24"/>
        </w:rPr>
        <w:t xml:space="preserve"> tools can be used to enhance effective pedagogies such as collaborative learning, formative tasks and feedback, scaffolding, and authenticity.</w:t>
      </w:r>
    </w:p>
    <w:p w14:paraId="6EAF1706" w14:textId="59819E86" w:rsidR="00927F34" w:rsidRPr="00587B4D" w:rsidRDefault="00587B4D" w:rsidP="00587B4D">
      <w:pPr>
        <w:spacing w:line="480" w:lineRule="auto"/>
        <w:jc w:val="both"/>
        <w:rPr>
          <w:rFonts w:ascii="Times New Roman" w:hAnsi="Times New Roman" w:cs="Times New Roman"/>
          <w:sz w:val="24"/>
          <w:szCs w:val="24"/>
        </w:rPr>
      </w:pPr>
      <w:r w:rsidRPr="00587B4D">
        <w:rPr>
          <w:rFonts w:ascii="Times New Roman" w:hAnsi="Times New Roman" w:cs="Times New Roman"/>
          <w:sz w:val="24"/>
          <w:szCs w:val="24"/>
        </w:rPr>
        <w:t>Collaboration was a central theme to many of the discussions: both as a key feature in many online tools but also an integral part of learning design. Social media, simulation, blockchain, digital badges and assistive technologies all have the ability to encourage and facilitate collaboration</w:t>
      </w:r>
      <w:r w:rsidR="002C2A45" w:rsidRPr="002C2A45">
        <w:rPr>
          <w:rFonts w:ascii="Times New Roman" w:hAnsi="Times New Roman" w:cs="Times New Roman"/>
          <w:sz w:val="24"/>
          <w:szCs w:val="24"/>
        </w:rPr>
        <w:t xml:space="preserve"> </w:t>
      </w:r>
      <w:sdt>
        <w:sdtPr>
          <w:rPr>
            <w:rFonts w:ascii="Times New Roman" w:hAnsi="Times New Roman" w:cs="Times New Roman"/>
            <w:sz w:val="24"/>
            <w:szCs w:val="24"/>
          </w:rPr>
          <w:id w:val="1503392029"/>
          <w:citation/>
        </w:sdtPr>
        <w:sdtContent>
          <w:r w:rsidR="002C2A45" w:rsidRPr="00B04D30">
            <w:rPr>
              <w:rFonts w:ascii="Times New Roman" w:hAnsi="Times New Roman" w:cs="Times New Roman"/>
              <w:sz w:val="24"/>
              <w:szCs w:val="24"/>
            </w:rPr>
            <w:fldChar w:fldCharType="begin"/>
          </w:r>
          <w:r w:rsidR="002C4A65">
            <w:rPr>
              <w:rFonts w:ascii="Times New Roman" w:hAnsi="Times New Roman" w:cs="Times New Roman"/>
              <w:sz w:val="24"/>
              <w:szCs w:val="24"/>
            </w:rPr>
            <w:instrText xml:space="preserve">CITATION Hea \p "195, 200" \m Mao15 \p "213, 222" \m Gib15 \p "407, 408" \l 3081 </w:instrText>
          </w:r>
          <w:r w:rsidR="002C2A45" w:rsidRPr="00B04D30">
            <w:rPr>
              <w:rFonts w:ascii="Times New Roman" w:hAnsi="Times New Roman" w:cs="Times New Roman"/>
              <w:sz w:val="24"/>
              <w:szCs w:val="24"/>
            </w:rPr>
            <w:fldChar w:fldCharType="separate"/>
          </w:r>
          <w:r w:rsidR="002C4A65" w:rsidRPr="002C4A65">
            <w:rPr>
              <w:rFonts w:ascii="Times New Roman" w:hAnsi="Times New Roman" w:cs="Times New Roman"/>
              <w:noProof/>
              <w:sz w:val="24"/>
              <w:szCs w:val="24"/>
            </w:rPr>
            <w:t>(Heavin &amp; Neville, 2012, pp. 195, 200; Mao, 2014, pp. 213, 222; Gibson, Ostashewski, Flintoff, Grant, &amp; Knight, 2015, pp. 407, 408)</w:t>
          </w:r>
          <w:r w:rsidR="002C2A45" w:rsidRPr="00B04D30">
            <w:rPr>
              <w:rFonts w:ascii="Times New Roman" w:hAnsi="Times New Roman" w:cs="Times New Roman"/>
              <w:sz w:val="24"/>
              <w:szCs w:val="24"/>
            </w:rPr>
            <w:fldChar w:fldCharType="end"/>
          </w:r>
        </w:sdtContent>
      </w:sdt>
      <w:r w:rsidRPr="00587B4D">
        <w:rPr>
          <w:rFonts w:ascii="Times New Roman" w:hAnsi="Times New Roman" w:cs="Times New Roman"/>
          <w:sz w:val="24"/>
          <w:szCs w:val="24"/>
        </w:rPr>
        <w:t xml:space="preserve">: what is important to consider as a learning designed is which tool is best matched to my learners? </w:t>
      </w:r>
      <w:r w:rsidR="0039286F" w:rsidRPr="00587B4D">
        <w:rPr>
          <w:rFonts w:ascii="Times New Roman" w:hAnsi="Times New Roman" w:cs="Times New Roman"/>
          <w:sz w:val="24"/>
          <w:szCs w:val="24"/>
        </w:rPr>
        <w:t xml:space="preserve">For example, younger learners early in university may prefer more current social media forms such as Twitter or </w:t>
      </w:r>
      <w:proofErr w:type="spellStart"/>
      <w:r w:rsidR="0039286F" w:rsidRPr="00587B4D">
        <w:rPr>
          <w:rFonts w:ascii="Times New Roman" w:hAnsi="Times New Roman" w:cs="Times New Roman"/>
          <w:sz w:val="24"/>
          <w:szCs w:val="24"/>
        </w:rPr>
        <w:t>TikTok</w:t>
      </w:r>
      <w:proofErr w:type="spellEnd"/>
      <w:r w:rsidR="0039286F" w:rsidRPr="00587B4D">
        <w:rPr>
          <w:rFonts w:ascii="Times New Roman" w:hAnsi="Times New Roman" w:cs="Times New Roman"/>
          <w:sz w:val="24"/>
          <w:szCs w:val="24"/>
        </w:rPr>
        <w:t xml:space="preserve">, whereas older students or less homogenous groups may prefer to utilise collaborative tools such as discussion boards, </w:t>
      </w:r>
      <w:r w:rsidR="005975B1" w:rsidRPr="00587B4D">
        <w:rPr>
          <w:rFonts w:ascii="Times New Roman" w:hAnsi="Times New Roman" w:cs="Times New Roman"/>
          <w:sz w:val="24"/>
          <w:szCs w:val="24"/>
        </w:rPr>
        <w:t>blogs,</w:t>
      </w:r>
      <w:r w:rsidR="0039286F" w:rsidRPr="00587B4D">
        <w:rPr>
          <w:rFonts w:ascii="Times New Roman" w:hAnsi="Times New Roman" w:cs="Times New Roman"/>
          <w:sz w:val="24"/>
          <w:szCs w:val="24"/>
        </w:rPr>
        <w:t xml:space="preserve"> or multimedia presentations.</w:t>
      </w:r>
      <w:r w:rsidR="00CF5947" w:rsidRPr="00587B4D">
        <w:rPr>
          <w:rFonts w:ascii="Times New Roman" w:hAnsi="Times New Roman" w:cs="Times New Roman"/>
          <w:sz w:val="24"/>
          <w:szCs w:val="24"/>
        </w:rPr>
        <w:t xml:space="preserve"> </w:t>
      </w:r>
    </w:p>
    <w:p w14:paraId="19EC6154" w14:textId="12A7C1A6" w:rsidR="00CF5947" w:rsidRPr="00587B4D" w:rsidRDefault="00587B4D" w:rsidP="00587B4D">
      <w:pPr>
        <w:spacing w:line="480" w:lineRule="auto"/>
        <w:jc w:val="both"/>
        <w:rPr>
          <w:rFonts w:ascii="Times New Roman" w:hAnsi="Times New Roman" w:cs="Times New Roman"/>
          <w:sz w:val="24"/>
          <w:szCs w:val="24"/>
        </w:rPr>
      </w:pPr>
      <w:r w:rsidRPr="00587B4D">
        <w:rPr>
          <w:rFonts w:ascii="Times New Roman" w:hAnsi="Times New Roman" w:cs="Times New Roman"/>
          <w:sz w:val="24"/>
          <w:szCs w:val="24"/>
        </w:rPr>
        <w:t>Further, two clear features arose from a range of the gaming based technologies</w:t>
      </w:r>
      <w:r w:rsidR="001952C5" w:rsidRPr="00587B4D">
        <w:rPr>
          <w:rFonts w:ascii="Times New Roman" w:hAnsi="Times New Roman" w:cs="Times New Roman"/>
          <w:sz w:val="24"/>
          <w:szCs w:val="24"/>
        </w:rPr>
        <w:t xml:space="preserve">: </w:t>
      </w:r>
      <w:r w:rsidRPr="00587B4D">
        <w:rPr>
          <w:rFonts w:ascii="Times New Roman" w:hAnsi="Times New Roman" w:cs="Times New Roman"/>
          <w:sz w:val="24"/>
          <w:szCs w:val="24"/>
        </w:rPr>
        <w:t>m</w:t>
      </w:r>
      <w:r w:rsidR="001952C5" w:rsidRPr="00587B4D">
        <w:rPr>
          <w:rFonts w:ascii="Times New Roman" w:hAnsi="Times New Roman" w:cs="Times New Roman"/>
          <w:sz w:val="24"/>
          <w:szCs w:val="24"/>
        </w:rPr>
        <w:t>ost of these tools have the ability to engage and motivate learners by making the learning fun, interesting and relevant</w:t>
      </w:r>
      <w:r w:rsidR="002C2A45">
        <w:rPr>
          <w:rFonts w:ascii="Times New Roman" w:hAnsi="Times New Roman" w:cs="Times New Roman"/>
          <w:sz w:val="24"/>
          <w:szCs w:val="24"/>
        </w:rPr>
        <w:t xml:space="preserve"> </w:t>
      </w:r>
      <w:sdt>
        <w:sdtPr>
          <w:rPr>
            <w:rFonts w:ascii="Times New Roman" w:hAnsi="Times New Roman" w:cs="Times New Roman"/>
            <w:sz w:val="24"/>
            <w:szCs w:val="24"/>
          </w:rPr>
          <w:id w:val="-58563521"/>
          <w:citation/>
        </w:sdtPr>
        <w:sdtContent>
          <w:r w:rsidR="002C2A45" w:rsidRPr="003F1F8E">
            <w:rPr>
              <w:rFonts w:ascii="Times New Roman" w:hAnsi="Times New Roman" w:cs="Times New Roman"/>
              <w:sz w:val="24"/>
              <w:szCs w:val="24"/>
            </w:rPr>
            <w:fldChar w:fldCharType="begin"/>
          </w:r>
          <w:r w:rsidR="002C2A45" w:rsidRPr="003F1F8E">
            <w:rPr>
              <w:rFonts w:ascii="Times New Roman" w:hAnsi="Times New Roman" w:cs="Times New Roman"/>
              <w:sz w:val="24"/>
              <w:szCs w:val="24"/>
            </w:rPr>
            <w:instrText xml:space="preserve">CITATION Ols10 \p 476 \m Shu11 \p 95 \l 3081 </w:instrText>
          </w:r>
          <w:r w:rsidR="002C2A45" w:rsidRPr="003F1F8E">
            <w:rPr>
              <w:rFonts w:ascii="Times New Roman" w:hAnsi="Times New Roman" w:cs="Times New Roman"/>
              <w:sz w:val="24"/>
              <w:szCs w:val="24"/>
            </w:rPr>
            <w:fldChar w:fldCharType="separate"/>
          </w:r>
          <w:r w:rsidR="002C2A45" w:rsidRPr="003F1F8E">
            <w:rPr>
              <w:rFonts w:ascii="Times New Roman" w:hAnsi="Times New Roman" w:cs="Times New Roman"/>
              <w:noProof/>
              <w:sz w:val="24"/>
              <w:szCs w:val="24"/>
            </w:rPr>
            <w:t xml:space="preserve"> (Olson, Scheller, Larson, Lindeke, &amp; Edwardson, 2010, p. 476; Shute &amp; Torres, 2011, p. 95)</w:t>
          </w:r>
          <w:r w:rsidR="002C2A45" w:rsidRPr="003F1F8E">
            <w:rPr>
              <w:rFonts w:ascii="Times New Roman" w:hAnsi="Times New Roman" w:cs="Times New Roman"/>
              <w:sz w:val="24"/>
              <w:szCs w:val="24"/>
            </w:rPr>
            <w:fldChar w:fldCharType="end"/>
          </w:r>
        </w:sdtContent>
      </w:sdt>
      <w:r w:rsidR="001952C5" w:rsidRPr="00587B4D">
        <w:rPr>
          <w:rFonts w:ascii="Times New Roman" w:hAnsi="Times New Roman" w:cs="Times New Roman"/>
          <w:sz w:val="24"/>
          <w:szCs w:val="24"/>
        </w:rPr>
        <w:t>, but more importantly, that theses are tools that can help support pedagogical practice. Using these tools is able to bridge the divide between those with knowledge and those with experience, which allows learning designers to create learning experiences that enable learnings to develop the skills as well as knowledge that they will need once learning is completed, when previously this may not have been plausible in the real world. Additionally, these features allow learners to have multiple chances at low risk</w:t>
      </w:r>
      <w:sdt>
        <w:sdtPr>
          <w:rPr>
            <w:rFonts w:ascii="Times New Roman" w:hAnsi="Times New Roman" w:cs="Times New Roman"/>
            <w:sz w:val="24"/>
            <w:szCs w:val="24"/>
          </w:rPr>
          <w:id w:val="1047875186"/>
          <w:citation/>
        </w:sdtPr>
        <w:sdtContent>
          <w:r w:rsidR="002C2A45" w:rsidRPr="003F1F8E">
            <w:rPr>
              <w:rFonts w:ascii="Times New Roman" w:hAnsi="Times New Roman" w:cs="Times New Roman"/>
              <w:sz w:val="24"/>
              <w:szCs w:val="24"/>
            </w:rPr>
            <w:fldChar w:fldCharType="begin"/>
          </w:r>
          <w:r w:rsidR="003D1134">
            <w:rPr>
              <w:rFonts w:ascii="Times New Roman" w:hAnsi="Times New Roman" w:cs="Times New Roman"/>
              <w:sz w:val="24"/>
              <w:szCs w:val="24"/>
            </w:rPr>
            <w:instrText xml:space="preserve">CITATION Ols10 \p 469 \m Kim18 \p 42 \m Ext18 \m Shu11 \p 93 \l 3081 </w:instrText>
          </w:r>
          <w:r w:rsidR="002C2A45" w:rsidRPr="003F1F8E">
            <w:rPr>
              <w:rFonts w:ascii="Times New Roman" w:hAnsi="Times New Roman" w:cs="Times New Roman"/>
              <w:sz w:val="24"/>
              <w:szCs w:val="24"/>
            </w:rPr>
            <w:fldChar w:fldCharType="separate"/>
          </w:r>
          <w:r w:rsidR="003D1134">
            <w:rPr>
              <w:rFonts w:ascii="Times New Roman" w:hAnsi="Times New Roman" w:cs="Times New Roman"/>
              <w:noProof/>
              <w:sz w:val="24"/>
              <w:szCs w:val="24"/>
            </w:rPr>
            <w:t xml:space="preserve"> </w:t>
          </w:r>
          <w:r w:rsidR="003D1134" w:rsidRPr="003D1134">
            <w:rPr>
              <w:rFonts w:ascii="Times New Roman" w:hAnsi="Times New Roman" w:cs="Times New Roman"/>
              <w:noProof/>
              <w:sz w:val="24"/>
              <w:szCs w:val="24"/>
            </w:rPr>
            <w:t xml:space="preserve">(Olson, Scheller, Larson, </w:t>
          </w:r>
          <w:r w:rsidR="003D1134" w:rsidRPr="003D1134">
            <w:rPr>
              <w:rFonts w:ascii="Times New Roman" w:hAnsi="Times New Roman" w:cs="Times New Roman"/>
              <w:noProof/>
              <w:sz w:val="24"/>
              <w:szCs w:val="24"/>
            </w:rPr>
            <w:lastRenderedPageBreak/>
            <w:t>Lindeke, &amp; Edwardson, 2010, p. 469; Kim, Song, Lockee, &amp; Burton, 2018, p. 42; Extra Credits, 2018; Shute &amp; Torres, 2011, p. 93)</w:t>
          </w:r>
          <w:r w:rsidR="002C2A45" w:rsidRPr="003F1F8E">
            <w:rPr>
              <w:rFonts w:ascii="Times New Roman" w:hAnsi="Times New Roman" w:cs="Times New Roman"/>
              <w:sz w:val="24"/>
              <w:szCs w:val="24"/>
            </w:rPr>
            <w:fldChar w:fldCharType="end"/>
          </w:r>
        </w:sdtContent>
      </w:sdt>
      <w:r w:rsidR="001952C5" w:rsidRPr="00587B4D">
        <w:rPr>
          <w:rFonts w:ascii="Times New Roman" w:hAnsi="Times New Roman" w:cs="Times New Roman"/>
          <w:sz w:val="24"/>
          <w:szCs w:val="24"/>
        </w:rPr>
        <w:t>, scaffolded to their capabilities, whilst receiving feedback along the way</w:t>
      </w:r>
      <w:sdt>
        <w:sdtPr>
          <w:rPr>
            <w:rFonts w:ascii="Times New Roman" w:hAnsi="Times New Roman" w:cs="Times New Roman"/>
            <w:sz w:val="24"/>
            <w:szCs w:val="24"/>
          </w:rPr>
          <w:id w:val="2008175096"/>
          <w:citation/>
        </w:sdtPr>
        <w:sdtContent>
          <w:r w:rsidR="002C2A45" w:rsidRPr="003F1F8E">
            <w:rPr>
              <w:rFonts w:ascii="Times New Roman" w:hAnsi="Times New Roman" w:cs="Times New Roman"/>
              <w:sz w:val="24"/>
              <w:szCs w:val="24"/>
            </w:rPr>
            <w:fldChar w:fldCharType="begin"/>
          </w:r>
          <w:r w:rsidR="002C4A65">
            <w:rPr>
              <w:rFonts w:ascii="Times New Roman" w:hAnsi="Times New Roman" w:cs="Times New Roman"/>
              <w:sz w:val="24"/>
              <w:szCs w:val="24"/>
            </w:rPr>
            <w:instrText xml:space="preserve">CITATION Kim18 \p "5, 43" \m Shu11 \p 92 \m Che181 \p 193 \l 3081 </w:instrText>
          </w:r>
          <w:r w:rsidR="002C2A45" w:rsidRPr="003F1F8E">
            <w:rPr>
              <w:rFonts w:ascii="Times New Roman" w:hAnsi="Times New Roman" w:cs="Times New Roman"/>
              <w:sz w:val="24"/>
              <w:szCs w:val="24"/>
            </w:rPr>
            <w:fldChar w:fldCharType="separate"/>
          </w:r>
          <w:r w:rsidR="002C4A65">
            <w:rPr>
              <w:rFonts w:ascii="Times New Roman" w:hAnsi="Times New Roman" w:cs="Times New Roman"/>
              <w:noProof/>
              <w:sz w:val="24"/>
              <w:szCs w:val="24"/>
            </w:rPr>
            <w:t xml:space="preserve"> </w:t>
          </w:r>
          <w:r w:rsidR="002C4A65" w:rsidRPr="002C4A65">
            <w:rPr>
              <w:rFonts w:ascii="Times New Roman" w:hAnsi="Times New Roman" w:cs="Times New Roman"/>
              <w:noProof/>
              <w:sz w:val="24"/>
              <w:szCs w:val="24"/>
            </w:rPr>
            <w:t>(Kim, Song, Lockee, &amp; Burton, 2018, pp. 5, 43; Shute &amp; Torres, 2011, p. 92; Cheng, Watson, &amp; Newby, 2018, p. 193)</w:t>
          </w:r>
          <w:r w:rsidR="002C2A45" w:rsidRPr="003F1F8E">
            <w:rPr>
              <w:rFonts w:ascii="Times New Roman" w:hAnsi="Times New Roman" w:cs="Times New Roman"/>
              <w:sz w:val="24"/>
              <w:szCs w:val="24"/>
            </w:rPr>
            <w:fldChar w:fldCharType="end"/>
          </w:r>
        </w:sdtContent>
      </w:sdt>
      <w:r w:rsidR="005975B1">
        <w:rPr>
          <w:rFonts w:ascii="Times New Roman" w:hAnsi="Times New Roman" w:cs="Times New Roman"/>
          <w:sz w:val="24"/>
          <w:szCs w:val="24"/>
        </w:rPr>
        <w:t xml:space="preserve"> </w:t>
      </w:r>
      <w:r w:rsidR="001952C5" w:rsidRPr="00587B4D">
        <w:rPr>
          <w:rFonts w:ascii="Times New Roman" w:hAnsi="Times New Roman" w:cs="Times New Roman"/>
          <w:sz w:val="24"/>
          <w:szCs w:val="24"/>
        </w:rPr>
        <w:t xml:space="preserve">– all critical elements of good pedagogy and learning design. </w:t>
      </w:r>
    </w:p>
    <w:p w14:paraId="5902D9AA" w14:textId="5A9ED26E" w:rsidR="00B94827" w:rsidRPr="00587B4D" w:rsidRDefault="001952C5" w:rsidP="00587B4D">
      <w:pPr>
        <w:spacing w:line="480" w:lineRule="auto"/>
        <w:jc w:val="both"/>
        <w:rPr>
          <w:rFonts w:ascii="Times New Roman" w:hAnsi="Times New Roman" w:cs="Times New Roman"/>
          <w:sz w:val="24"/>
          <w:szCs w:val="24"/>
        </w:rPr>
      </w:pPr>
      <w:r w:rsidRPr="00587B4D">
        <w:rPr>
          <w:rFonts w:ascii="Times New Roman" w:hAnsi="Times New Roman" w:cs="Times New Roman"/>
          <w:sz w:val="24"/>
          <w:szCs w:val="24"/>
        </w:rPr>
        <w:t xml:space="preserve">It is also worth pointing out here that gaming tools are not the only thing that is helping to bridge the gap in </w:t>
      </w:r>
      <w:r w:rsidR="00B94827" w:rsidRPr="00587B4D">
        <w:rPr>
          <w:rFonts w:ascii="Times New Roman" w:hAnsi="Times New Roman" w:cs="Times New Roman"/>
          <w:sz w:val="24"/>
          <w:szCs w:val="24"/>
        </w:rPr>
        <w:t>learning experiences. Assistive technologies now mean that learning is more inclusive, and those that previous felt disadvantaged in their learning can access learning more equitably. Through my experiences as a learner, I can appreciate the value of being able to learn in a way that is culturally inclusive and meets my learning styles, and have found so much value in the ability to engage in conversations, audio-visual media and voice to text, rather than just reading and writing. As learner designers it is so critical that we consider the needs of our learnings, and can facilitate their experience to maximise success, and with the range of technologies available, it is easier to include multiple presentation styles as well as add-ons to support learners.</w:t>
      </w:r>
    </w:p>
    <w:p w14:paraId="27BE4EE8" w14:textId="63F29754" w:rsidR="00C81B10" w:rsidRDefault="00B94827" w:rsidP="00587B4D">
      <w:pPr>
        <w:spacing w:line="480" w:lineRule="auto"/>
        <w:jc w:val="both"/>
        <w:rPr>
          <w:rFonts w:ascii="Times New Roman" w:hAnsi="Times New Roman" w:cs="Times New Roman"/>
          <w:sz w:val="24"/>
          <w:szCs w:val="24"/>
        </w:rPr>
      </w:pPr>
      <w:r w:rsidRPr="00587B4D">
        <w:rPr>
          <w:rFonts w:ascii="Times New Roman" w:hAnsi="Times New Roman" w:cs="Times New Roman"/>
          <w:sz w:val="24"/>
          <w:szCs w:val="24"/>
        </w:rPr>
        <w:t>Despite the huge benefits available through these tools, they are not without risk. The biggest issue with any digital technology today is privacy. Although many tools and platforms available are free, which makes them more accessible to learners, caution must still be used when considering what tools are best</w:t>
      </w:r>
      <w:r w:rsidR="002C2A45" w:rsidRPr="002C2A45">
        <w:rPr>
          <w:rFonts w:ascii="Times New Roman" w:hAnsi="Times New Roman" w:cs="Times New Roman"/>
          <w:sz w:val="24"/>
          <w:szCs w:val="24"/>
        </w:rPr>
        <w:t xml:space="preserve"> </w:t>
      </w:r>
      <w:sdt>
        <w:sdtPr>
          <w:rPr>
            <w:rFonts w:ascii="Times New Roman" w:hAnsi="Times New Roman" w:cs="Times New Roman"/>
            <w:sz w:val="24"/>
            <w:szCs w:val="24"/>
          </w:rPr>
          <w:id w:val="-240640308"/>
          <w:citation/>
        </w:sdtPr>
        <w:sdtContent>
          <w:r w:rsidR="002C2A45" w:rsidRPr="00B04D30">
            <w:rPr>
              <w:rFonts w:ascii="Times New Roman" w:hAnsi="Times New Roman" w:cs="Times New Roman"/>
              <w:sz w:val="24"/>
              <w:szCs w:val="24"/>
            </w:rPr>
            <w:fldChar w:fldCharType="begin"/>
          </w:r>
          <w:r w:rsidR="002C4A65">
            <w:rPr>
              <w:rFonts w:ascii="Times New Roman" w:hAnsi="Times New Roman" w:cs="Times New Roman"/>
              <w:sz w:val="24"/>
              <w:szCs w:val="24"/>
            </w:rPr>
            <w:instrText xml:space="preserve">CITATION Hea \p 200 \m Mao15 \p 221 \m MaY20 \p 26 \l 3081 </w:instrText>
          </w:r>
          <w:r w:rsidR="002C2A45" w:rsidRPr="00B04D30">
            <w:rPr>
              <w:rFonts w:ascii="Times New Roman" w:hAnsi="Times New Roman" w:cs="Times New Roman"/>
              <w:sz w:val="24"/>
              <w:szCs w:val="24"/>
            </w:rPr>
            <w:fldChar w:fldCharType="separate"/>
          </w:r>
          <w:r w:rsidR="002C4A65" w:rsidRPr="002C4A65">
            <w:rPr>
              <w:rFonts w:ascii="Times New Roman" w:hAnsi="Times New Roman" w:cs="Times New Roman"/>
              <w:noProof/>
              <w:sz w:val="24"/>
              <w:szCs w:val="24"/>
            </w:rPr>
            <w:t>(Heavin &amp; Neville, 2012, p. 200; Mao, 2014, p. 221; Ma &amp; Fang, 2020, p. 26)</w:t>
          </w:r>
          <w:r w:rsidR="002C2A45" w:rsidRPr="00B04D30">
            <w:rPr>
              <w:rFonts w:ascii="Times New Roman" w:hAnsi="Times New Roman" w:cs="Times New Roman"/>
              <w:sz w:val="24"/>
              <w:szCs w:val="24"/>
            </w:rPr>
            <w:fldChar w:fldCharType="end"/>
          </w:r>
        </w:sdtContent>
      </w:sdt>
      <w:r w:rsidRPr="00587B4D">
        <w:rPr>
          <w:rFonts w:ascii="Times New Roman" w:hAnsi="Times New Roman" w:cs="Times New Roman"/>
          <w:sz w:val="24"/>
          <w:szCs w:val="24"/>
        </w:rPr>
        <w:t>. It is important to consider that many of these platforms are designed for intentions other than learning</w:t>
      </w:r>
      <w:r w:rsidR="00C81B10">
        <w:rPr>
          <w:rFonts w:ascii="Times New Roman" w:hAnsi="Times New Roman" w:cs="Times New Roman"/>
          <w:sz w:val="24"/>
          <w:szCs w:val="24"/>
        </w:rPr>
        <w:t xml:space="preserve"> </w:t>
      </w:r>
      <w:sdt>
        <w:sdtPr>
          <w:rPr>
            <w:rFonts w:ascii="Times New Roman" w:hAnsi="Times New Roman" w:cs="Times New Roman"/>
            <w:sz w:val="24"/>
            <w:szCs w:val="24"/>
          </w:rPr>
          <w:id w:val="-1496258087"/>
          <w:citation/>
        </w:sdtPr>
        <w:sdtContent>
          <w:r w:rsidR="00C81B10" w:rsidRPr="00E02B80">
            <w:rPr>
              <w:rFonts w:ascii="Times New Roman" w:hAnsi="Times New Roman" w:cs="Times New Roman"/>
              <w:sz w:val="24"/>
              <w:szCs w:val="24"/>
            </w:rPr>
            <w:fldChar w:fldCharType="begin"/>
          </w:r>
          <w:r w:rsidR="00C81B10" w:rsidRPr="00E02B80">
            <w:rPr>
              <w:rFonts w:ascii="Times New Roman" w:hAnsi="Times New Roman" w:cs="Times New Roman"/>
              <w:sz w:val="24"/>
              <w:szCs w:val="24"/>
            </w:rPr>
            <w:instrText xml:space="preserve">CITATION Che18 \p 1 \m Gon18 \p 2391 \l 3081 </w:instrText>
          </w:r>
          <w:r w:rsidR="00C81B10" w:rsidRPr="00E02B80">
            <w:rPr>
              <w:rFonts w:ascii="Times New Roman" w:hAnsi="Times New Roman" w:cs="Times New Roman"/>
              <w:sz w:val="24"/>
              <w:szCs w:val="24"/>
            </w:rPr>
            <w:fldChar w:fldCharType="separate"/>
          </w:r>
          <w:r w:rsidR="00C81B10" w:rsidRPr="00E02B80">
            <w:rPr>
              <w:rFonts w:ascii="Times New Roman" w:hAnsi="Times New Roman" w:cs="Times New Roman"/>
              <w:noProof/>
              <w:sz w:val="24"/>
              <w:szCs w:val="24"/>
            </w:rPr>
            <w:t>(Chen, Xu, Lu, &amp; Chen, 2018, p. 1; Gong, Liu, &amp; Jing, 2018, p. 2391)</w:t>
          </w:r>
          <w:r w:rsidR="00C81B10" w:rsidRPr="00E02B80">
            <w:rPr>
              <w:rFonts w:ascii="Times New Roman" w:hAnsi="Times New Roman" w:cs="Times New Roman"/>
              <w:sz w:val="24"/>
              <w:szCs w:val="24"/>
            </w:rPr>
            <w:fldChar w:fldCharType="end"/>
          </w:r>
        </w:sdtContent>
      </w:sdt>
      <w:r w:rsidRPr="00587B4D">
        <w:rPr>
          <w:rFonts w:ascii="Times New Roman" w:hAnsi="Times New Roman" w:cs="Times New Roman"/>
          <w:sz w:val="24"/>
          <w:szCs w:val="24"/>
        </w:rPr>
        <w:t>, and whilst they are useful, may not be beneficial. Research and thoughtful consideration of the learning design needs as well as careful alignment are critical</w:t>
      </w:r>
      <w:sdt>
        <w:sdtPr>
          <w:rPr>
            <w:rFonts w:ascii="Times New Roman" w:hAnsi="Times New Roman" w:cs="Times New Roman"/>
            <w:sz w:val="24"/>
            <w:szCs w:val="24"/>
          </w:rPr>
          <w:id w:val="-1178651529"/>
          <w:citation/>
        </w:sdtPr>
        <w:sdtContent>
          <w:r w:rsidR="002C2A45" w:rsidRPr="00B04D30">
            <w:rPr>
              <w:rFonts w:ascii="Times New Roman" w:hAnsi="Times New Roman" w:cs="Times New Roman"/>
              <w:sz w:val="24"/>
              <w:szCs w:val="24"/>
            </w:rPr>
            <w:fldChar w:fldCharType="begin"/>
          </w:r>
          <w:r w:rsidR="002C2A45">
            <w:rPr>
              <w:rFonts w:ascii="Times New Roman" w:hAnsi="Times New Roman" w:cs="Times New Roman"/>
              <w:sz w:val="24"/>
              <w:szCs w:val="24"/>
            </w:rPr>
            <w:instrText xml:space="preserve">CITATION Hea \p 194 \m Mao15 \p 222 \l 3081 </w:instrText>
          </w:r>
          <w:r w:rsidR="002C2A45" w:rsidRPr="00B04D30">
            <w:rPr>
              <w:rFonts w:ascii="Times New Roman" w:hAnsi="Times New Roman" w:cs="Times New Roman"/>
              <w:sz w:val="24"/>
              <w:szCs w:val="24"/>
            </w:rPr>
            <w:fldChar w:fldCharType="separate"/>
          </w:r>
          <w:r w:rsidR="002C2A45">
            <w:rPr>
              <w:rFonts w:ascii="Times New Roman" w:hAnsi="Times New Roman" w:cs="Times New Roman"/>
              <w:noProof/>
              <w:sz w:val="24"/>
              <w:szCs w:val="24"/>
            </w:rPr>
            <w:t xml:space="preserve"> </w:t>
          </w:r>
          <w:r w:rsidR="002C2A45" w:rsidRPr="00AA0534">
            <w:rPr>
              <w:rFonts w:ascii="Times New Roman" w:hAnsi="Times New Roman" w:cs="Times New Roman"/>
              <w:noProof/>
              <w:sz w:val="24"/>
              <w:szCs w:val="24"/>
            </w:rPr>
            <w:t>(Heavin &amp; Neville, 2012, p. 194; Mao, 2014, p. 222)</w:t>
          </w:r>
          <w:r w:rsidR="002C2A45" w:rsidRPr="00B04D30">
            <w:rPr>
              <w:rFonts w:ascii="Times New Roman" w:hAnsi="Times New Roman" w:cs="Times New Roman"/>
              <w:sz w:val="24"/>
              <w:szCs w:val="24"/>
            </w:rPr>
            <w:fldChar w:fldCharType="end"/>
          </w:r>
        </w:sdtContent>
      </w:sdt>
      <w:r w:rsidR="002C2A45">
        <w:rPr>
          <w:rFonts w:ascii="Times New Roman" w:hAnsi="Times New Roman" w:cs="Times New Roman"/>
          <w:sz w:val="24"/>
          <w:szCs w:val="24"/>
        </w:rPr>
        <w:t>.</w:t>
      </w:r>
    </w:p>
    <w:p w14:paraId="6948438C" w14:textId="35413EE9" w:rsidR="00414492" w:rsidRPr="00587B4D" w:rsidRDefault="00262021" w:rsidP="00587B4D">
      <w:pPr>
        <w:spacing w:line="480" w:lineRule="auto"/>
        <w:jc w:val="both"/>
        <w:rPr>
          <w:rFonts w:ascii="Times New Roman" w:hAnsi="Times New Roman" w:cs="Times New Roman"/>
          <w:sz w:val="24"/>
          <w:szCs w:val="24"/>
        </w:rPr>
      </w:pPr>
      <w:r w:rsidRPr="00587B4D">
        <w:rPr>
          <w:rFonts w:ascii="Times New Roman" w:hAnsi="Times New Roman" w:cs="Times New Roman"/>
          <w:sz w:val="24"/>
          <w:szCs w:val="24"/>
        </w:rPr>
        <w:lastRenderedPageBreak/>
        <w:t>Ultimately, these are really useful tools,</w:t>
      </w:r>
      <w:r w:rsidR="00414492" w:rsidRPr="00587B4D">
        <w:rPr>
          <w:rFonts w:ascii="Times New Roman" w:hAnsi="Times New Roman" w:cs="Times New Roman"/>
          <w:sz w:val="24"/>
          <w:szCs w:val="24"/>
        </w:rPr>
        <w:t xml:space="preserve"> and really enhance learning, making it </w:t>
      </w:r>
      <w:proofErr w:type="gramStart"/>
      <w:r w:rsidR="00414492" w:rsidRPr="00587B4D">
        <w:rPr>
          <w:rFonts w:ascii="Times New Roman" w:hAnsi="Times New Roman" w:cs="Times New Roman"/>
          <w:sz w:val="24"/>
          <w:szCs w:val="24"/>
        </w:rPr>
        <w:t>engaging</w:t>
      </w:r>
      <w:proofErr w:type="gramEnd"/>
      <w:r w:rsidR="00414492" w:rsidRPr="00587B4D">
        <w:rPr>
          <w:rFonts w:ascii="Times New Roman" w:hAnsi="Times New Roman" w:cs="Times New Roman"/>
          <w:sz w:val="24"/>
          <w:szCs w:val="24"/>
        </w:rPr>
        <w:t xml:space="preserve">, equitable and authentic. It is important to acknowledge they </w:t>
      </w:r>
      <w:r w:rsidR="002C4A65" w:rsidRPr="00587B4D">
        <w:rPr>
          <w:rFonts w:ascii="Times New Roman" w:hAnsi="Times New Roman" w:cs="Times New Roman"/>
          <w:sz w:val="24"/>
          <w:szCs w:val="24"/>
        </w:rPr>
        <w:t>should not</w:t>
      </w:r>
      <w:r w:rsidR="00414492" w:rsidRPr="00587B4D">
        <w:rPr>
          <w:rFonts w:ascii="Times New Roman" w:hAnsi="Times New Roman" w:cs="Times New Roman"/>
          <w:sz w:val="24"/>
          <w:szCs w:val="24"/>
        </w:rPr>
        <w:t xml:space="preserve"> be used to </w:t>
      </w:r>
      <w:r w:rsidRPr="00587B4D">
        <w:rPr>
          <w:rFonts w:ascii="Times New Roman" w:hAnsi="Times New Roman" w:cs="Times New Roman"/>
          <w:sz w:val="24"/>
          <w:szCs w:val="24"/>
        </w:rPr>
        <w:t>fix learning issues</w:t>
      </w:r>
      <w:r w:rsidR="00414492" w:rsidRPr="00587B4D">
        <w:rPr>
          <w:rFonts w:ascii="Times New Roman" w:hAnsi="Times New Roman" w:cs="Times New Roman"/>
          <w:sz w:val="24"/>
          <w:szCs w:val="24"/>
        </w:rPr>
        <w:t xml:space="preserve">, as they all face their own challenges, but rather </w:t>
      </w:r>
      <w:r w:rsidR="00587B4D" w:rsidRPr="00587B4D">
        <w:rPr>
          <w:rFonts w:ascii="Times New Roman" w:hAnsi="Times New Roman" w:cs="Times New Roman"/>
          <w:sz w:val="24"/>
          <w:szCs w:val="24"/>
        </w:rPr>
        <w:t>are to be utilised to supplement quality learning design and pedagogy.</w:t>
      </w:r>
    </w:p>
    <w:p w14:paraId="5CB8FFF0" w14:textId="4AE5E223" w:rsidR="00C81B10" w:rsidRDefault="00C81B10">
      <w:pPr>
        <w:rPr>
          <w:rFonts w:ascii="Times New Roman" w:hAnsi="Times New Roman" w:cs="Times New Roman"/>
          <w:sz w:val="24"/>
          <w:szCs w:val="24"/>
        </w:rPr>
      </w:pPr>
      <w:r>
        <w:rPr>
          <w:rFonts w:ascii="Times New Roman" w:hAnsi="Times New Roman" w:cs="Times New Roman"/>
          <w:sz w:val="24"/>
          <w:szCs w:val="24"/>
        </w:rPr>
        <w:br w:type="page"/>
      </w:r>
    </w:p>
    <w:sdt>
      <w:sdtPr>
        <w:id w:val="-1438207255"/>
        <w:docPartObj>
          <w:docPartGallery w:val="Bibliographies"/>
          <w:docPartUnique/>
        </w:docPartObj>
      </w:sdtPr>
      <w:sdtEndPr>
        <w:rPr>
          <w:rFonts w:asciiTheme="minorHAnsi" w:eastAsiaTheme="minorHAnsi" w:hAnsiTheme="minorHAnsi" w:cstheme="minorBidi"/>
          <w:color w:val="auto"/>
          <w:sz w:val="22"/>
          <w:szCs w:val="22"/>
          <w:lang w:val="en-AU"/>
        </w:rPr>
      </w:sdtEndPr>
      <w:sdtContent>
        <w:p w14:paraId="50D30977" w14:textId="72E84ECC" w:rsidR="00C81B10" w:rsidRDefault="00C81B10">
          <w:pPr>
            <w:pStyle w:val="Heading1"/>
          </w:pPr>
          <w:r>
            <w:t>References</w:t>
          </w:r>
        </w:p>
        <w:sdt>
          <w:sdtPr>
            <w:id w:val="-573587230"/>
            <w:bibliography/>
          </w:sdtPr>
          <w:sdtContent>
            <w:p w14:paraId="30C4C2FF" w14:textId="77777777" w:rsidR="00C81B10" w:rsidRDefault="00C81B10" w:rsidP="00C81B10">
              <w:pPr>
                <w:pStyle w:val="Bibliography"/>
                <w:ind w:left="720" w:hanging="720"/>
                <w:rPr>
                  <w:noProof/>
                  <w:sz w:val="24"/>
                  <w:szCs w:val="24"/>
                  <w:lang w:val="en-US"/>
                </w:rPr>
              </w:pPr>
              <w:r>
                <w:fldChar w:fldCharType="begin"/>
              </w:r>
              <w:r>
                <w:instrText xml:space="preserve"> BIBLIOGRAPHY </w:instrText>
              </w:r>
              <w:r>
                <w:fldChar w:fldCharType="separate"/>
              </w:r>
              <w:r>
                <w:rPr>
                  <w:noProof/>
                  <w:lang w:val="en-US"/>
                </w:rPr>
                <w:t xml:space="preserve">Chen, G., Xu, B., Lu, M., &amp; Chen, N.-S. (2018). Exploring blockchain and its potential applications for education. </w:t>
              </w:r>
              <w:r>
                <w:rPr>
                  <w:i/>
                  <w:iCs/>
                  <w:noProof/>
                  <w:lang w:val="en-US"/>
                </w:rPr>
                <w:t>Smart Learning Environments, 5</w:t>
              </w:r>
              <w:r>
                <w:rPr>
                  <w:noProof/>
                  <w:lang w:val="en-US"/>
                </w:rPr>
                <w:t>(1), 1-10. doi:10.1186/s40561-017-0050-x</w:t>
              </w:r>
            </w:p>
            <w:p w14:paraId="07796DEF" w14:textId="77777777" w:rsidR="00C81B10" w:rsidRDefault="00C81B10" w:rsidP="00C81B10">
              <w:pPr>
                <w:pStyle w:val="Bibliography"/>
                <w:ind w:left="720" w:hanging="720"/>
                <w:rPr>
                  <w:noProof/>
                  <w:lang w:val="en-US"/>
                </w:rPr>
              </w:pPr>
              <w:r>
                <w:rPr>
                  <w:noProof/>
                  <w:lang w:val="en-US"/>
                </w:rPr>
                <w:t xml:space="preserve">Cheng, Z., Watson, S. L., &amp; Newby, T. J. (2018). Goal Setting and Open Digital Badges in Higher Education. </w:t>
              </w:r>
              <w:r>
                <w:rPr>
                  <w:i/>
                  <w:iCs/>
                  <w:noProof/>
                  <w:lang w:val="en-US"/>
                </w:rPr>
                <w:t>TechTrends, 62</w:t>
              </w:r>
              <w:r>
                <w:rPr>
                  <w:noProof/>
                  <w:lang w:val="en-US"/>
                </w:rPr>
                <w:t>(2), 190 - 196. doi:10.1007/s11528-018-0249-x</w:t>
              </w:r>
            </w:p>
            <w:p w14:paraId="587B0D44" w14:textId="72550FB9" w:rsidR="00C81B10" w:rsidRDefault="00C81B10" w:rsidP="00C81B10">
              <w:pPr>
                <w:pStyle w:val="Bibliography"/>
                <w:ind w:left="720" w:hanging="720"/>
                <w:rPr>
                  <w:noProof/>
                  <w:lang w:val="en-US"/>
                </w:rPr>
              </w:pPr>
              <w:r>
                <w:rPr>
                  <w:noProof/>
                  <w:lang w:val="en-US"/>
                </w:rPr>
                <w:t xml:space="preserve">Extra Credits. (2018). </w:t>
              </w:r>
              <w:r>
                <w:rPr>
                  <w:i/>
                  <w:iCs/>
                  <w:noProof/>
                  <w:lang w:val="en-US"/>
                </w:rPr>
                <w:t>World of Warcraft Epidemology - The Corrupted Blood Plag</w:t>
              </w:r>
              <w:r w:rsidR="003D1134">
                <w:rPr>
                  <w:i/>
                  <w:iCs/>
                  <w:noProof/>
                  <w:lang w:val="en-US"/>
                </w:rPr>
                <w:t>u</w:t>
              </w:r>
              <w:r>
                <w:rPr>
                  <w:i/>
                  <w:iCs/>
                  <w:noProof/>
                  <w:lang w:val="en-US"/>
                </w:rPr>
                <w:t>e (And Why It Matters)</w:t>
              </w:r>
              <w:r>
                <w:rPr>
                  <w:noProof/>
                  <w:lang w:val="en-US"/>
                </w:rPr>
                <w:t>. Retrieved from https://www.youtube.com/watch?v=YNhP5b9YafM</w:t>
              </w:r>
            </w:p>
            <w:p w14:paraId="03B8C053" w14:textId="77777777" w:rsidR="00C81B10" w:rsidRDefault="00C81B10" w:rsidP="00C81B10">
              <w:pPr>
                <w:pStyle w:val="Bibliography"/>
                <w:ind w:left="720" w:hanging="720"/>
                <w:rPr>
                  <w:noProof/>
                  <w:lang w:val="en-US"/>
                </w:rPr>
              </w:pPr>
              <w:r>
                <w:rPr>
                  <w:noProof/>
                  <w:lang w:val="en-US"/>
                </w:rPr>
                <w:t xml:space="preserve">Gibson, D., Ostashewski, N., Flintoff, K., Grant, S., &amp; Knight, E. (2015). Digital Badges in Education. </w:t>
              </w:r>
              <w:r>
                <w:rPr>
                  <w:i/>
                  <w:iCs/>
                  <w:noProof/>
                  <w:lang w:val="en-US"/>
                </w:rPr>
                <w:t>Education and InformationTechnologies, 20</w:t>
              </w:r>
              <w:r>
                <w:rPr>
                  <w:noProof/>
                  <w:lang w:val="en-US"/>
                </w:rPr>
                <w:t>(2), 403 - 410. doi:10.1007/s10639-013-9291-7</w:t>
              </w:r>
            </w:p>
            <w:p w14:paraId="61B6E2BA" w14:textId="77777777" w:rsidR="00C81B10" w:rsidRDefault="00C81B10" w:rsidP="00C81B10">
              <w:pPr>
                <w:pStyle w:val="Bibliography"/>
                <w:ind w:left="720" w:hanging="720"/>
                <w:rPr>
                  <w:noProof/>
                  <w:lang w:val="en-US"/>
                </w:rPr>
              </w:pPr>
              <w:r>
                <w:rPr>
                  <w:noProof/>
                  <w:lang w:val="en-US"/>
                </w:rPr>
                <w:t xml:space="preserve">Gong, X., Liu, X., &amp; Jing, S. (2018). Parallel-Education-Blockchain Driven Smart Education: Challenges and Issues. </w:t>
              </w:r>
              <w:r>
                <w:rPr>
                  <w:i/>
                  <w:iCs/>
                  <w:noProof/>
                  <w:lang w:val="en-US"/>
                </w:rPr>
                <w:t>2018 Chinese Automation Congress (CAC)</w:t>
              </w:r>
              <w:r>
                <w:rPr>
                  <w:noProof/>
                  <w:lang w:val="en-US"/>
                </w:rPr>
                <w:t>, (pp. 2390 - 2395). doi:10.1109/CAC.2018.8623198</w:t>
              </w:r>
            </w:p>
            <w:p w14:paraId="4024EAB6" w14:textId="77777777" w:rsidR="00C81B10" w:rsidRDefault="00C81B10" w:rsidP="00C81B10">
              <w:pPr>
                <w:pStyle w:val="Bibliography"/>
                <w:ind w:left="720" w:hanging="720"/>
                <w:rPr>
                  <w:noProof/>
                  <w:lang w:val="en-US"/>
                </w:rPr>
              </w:pPr>
              <w:r>
                <w:rPr>
                  <w:noProof/>
                  <w:lang w:val="en-US"/>
                </w:rPr>
                <w:t xml:space="preserve">Heavin, C., &amp; Neville, K. (2012). Using Social Media Technology as an Educational Tool. </w:t>
              </w:r>
              <w:r>
                <w:rPr>
                  <w:i/>
                  <w:iCs/>
                  <w:noProof/>
                  <w:lang w:val="en-US"/>
                </w:rPr>
                <w:t>Proceedings of the European Conference on Games Based Learning</w:t>
              </w:r>
              <w:r>
                <w:rPr>
                  <w:noProof/>
                  <w:lang w:val="en-US"/>
                </w:rPr>
                <w:t>, (pp. 194-201).</w:t>
              </w:r>
            </w:p>
            <w:p w14:paraId="634D2C98" w14:textId="77777777" w:rsidR="00C81B10" w:rsidRDefault="00C81B10" w:rsidP="00C81B10">
              <w:pPr>
                <w:pStyle w:val="Bibliography"/>
                <w:ind w:left="720" w:hanging="720"/>
                <w:rPr>
                  <w:noProof/>
                  <w:lang w:val="en-US"/>
                </w:rPr>
              </w:pPr>
              <w:r>
                <w:rPr>
                  <w:noProof/>
                  <w:lang w:val="en-US"/>
                </w:rPr>
                <w:t xml:space="preserve">Kim, S., Song, K., Lockee, B., &amp; Burton, J. (2018). </w:t>
              </w:r>
              <w:r>
                <w:rPr>
                  <w:i/>
                  <w:iCs/>
                  <w:noProof/>
                  <w:lang w:val="en-US"/>
                </w:rPr>
                <w:t>Gamification in Learning and Education: Enjoy Learning Like Gaming.</w:t>
              </w:r>
              <w:r>
                <w:rPr>
                  <w:noProof/>
                  <w:lang w:val="en-US"/>
                </w:rPr>
                <w:t xml:space="preserve"> Switzerland: Springer. doi:10.1007/978-3-319-47283-6</w:t>
              </w:r>
            </w:p>
            <w:p w14:paraId="22B4B350" w14:textId="77777777" w:rsidR="00C81B10" w:rsidRDefault="00C81B10" w:rsidP="00C81B10">
              <w:pPr>
                <w:pStyle w:val="Bibliography"/>
                <w:ind w:left="720" w:hanging="720"/>
                <w:rPr>
                  <w:noProof/>
                  <w:lang w:val="en-US"/>
                </w:rPr>
              </w:pPr>
              <w:r>
                <w:rPr>
                  <w:noProof/>
                  <w:lang w:val="en-US"/>
                </w:rPr>
                <w:t xml:space="preserve">Ma, Y., &amp; Fang, Y. (2020). Current Status, Issues, and Challenges of Blockchain Applications in Education. </w:t>
              </w:r>
              <w:r>
                <w:rPr>
                  <w:i/>
                  <w:iCs/>
                  <w:noProof/>
                  <w:lang w:val="en-US"/>
                </w:rPr>
                <w:t>International Journal of Emerging Technologies in Learning, 15</w:t>
              </w:r>
              <w:r>
                <w:rPr>
                  <w:noProof/>
                  <w:lang w:val="en-US"/>
                </w:rPr>
                <w:t>(12), 20 - 31. doi:10.3991/ijet.v15i12.13797</w:t>
              </w:r>
            </w:p>
            <w:p w14:paraId="094FD3B7" w14:textId="77777777" w:rsidR="00C81B10" w:rsidRDefault="00C81B10" w:rsidP="00C81B10">
              <w:pPr>
                <w:pStyle w:val="Bibliography"/>
                <w:ind w:left="720" w:hanging="720"/>
                <w:rPr>
                  <w:noProof/>
                  <w:lang w:val="en-US"/>
                </w:rPr>
              </w:pPr>
              <w:r>
                <w:rPr>
                  <w:noProof/>
                  <w:lang w:val="en-US"/>
                </w:rPr>
                <w:t xml:space="preserve">Mao, J. (2014). Social Media for learning: A mised methods study on high school students' technology affordances and perspectives. </w:t>
              </w:r>
              <w:r>
                <w:rPr>
                  <w:i/>
                  <w:iCs/>
                  <w:noProof/>
                  <w:lang w:val="en-US"/>
                </w:rPr>
                <w:t>Computers in Human Behaviour, 33</w:t>
              </w:r>
              <w:r>
                <w:rPr>
                  <w:noProof/>
                  <w:lang w:val="en-US"/>
                </w:rPr>
                <w:t>, 113-223. Retrieved from http://dx.doi.org/10.1016/j.chb.2014.01.002</w:t>
              </w:r>
            </w:p>
            <w:p w14:paraId="5679CA2D" w14:textId="77777777" w:rsidR="00C81B10" w:rsidRDefault="00C81B10" w:rsidP="00C81B10">
              <w:pPr>
                <w:pStyle w:val="Bibliography"/>
                <w:ind w:left="720" w:hanging="720"/>
                <w:rPr>
                  <w:noProof/>
                  <w:lang w:val="en-US"/>
                </w:rPr>
              </w:pPr>
              <w:r>
                <w:rPr>
                  <w:noProof/>
                  <w:lang w:val="en-US"/>
                </w:rPr>
                <w:t xml:space="preserve">Olson, D. K., Scheller, A., Larson, S., Lindeke, L., &amp; Edwardson, S. (2010). Using Gaming Simulation to Evaluate Bioterrorism and Emergency. </w:t>
              </w:r>
              <w:r>
                <w:rPr>
                  <w:i/>
                  <w:iCs/>
                  <w:noProof/>
                  <w:lang w:val="en-US"/>
                </w:rPr>
                <w:t>Public Health Reports, 125</w:t>
              </w:r>
              <w:r>
                <w:rPr>
                  <w:noProof/>
                  <w:lang w:val="en-US"/>
                </w:rPr>
                <w:t>, 468-477.</w:t>
              </w:r>
            </w:p>
            <w:p w14:paraId="194E111E" w14:textId="77777777" w:rsidR="00C81B10" w:rsidRDefault="00C81B10" w:rsidP="00C81B10">
              <w:pPr>
                <w:pStyle w:val="Bibliography"/>
                <w:ind w:left="720" w:hanging="720"/>
                <w:rPr>
                  <w:noProof/>
                  <w:lang w:val="en-US"/>
                </w:rPr>
              </w:pPr>
              <w:r>
                <w:rPr>
                  <w:noProof/>
                  <w:lang w:val="en-US"/>
                </w:rPr>
                <w:t xml:space="preserve">Shute, V. J., &amp; Torres, R. J. (2011). Chapter 4: Where Streams Converge: Using Evidence-Centered Design to Assess Quest to Learn. In </w:t>
              </w:r>
              <w:r>
                <w:rPr>
                  <w:i/>
                  <w:iCs/>
                  <w:noProof/>
                  <w:lang w:val="en-US"/>
                </w:rPr>
                <w:t>Technology-Based Assessments for 21st Century Skills</w:t>
              </w:r>
              <w:r>
                <w:rPr>
                  <w:noProof/>
                  <w:lang w:val="en-US"/>
                </w:rPr>
                <w:t xml:space="preserve"> (pp. 91-124). Charlotte, USA: Information Age Publishing.</w:t>
              </w:r>
            </w:p>
            <w:p w14:paraId="4B1EF531" w14:textId="26F07C96" w:rsidR="00C81B10" w:rsidRDefault="00C81B10" w:rsidP="00C81B10">
              <w:r>
                <w:rPr>
                  <w:b/>
                  <w:bCs/>
                  <w:noProof/>
                </w:rPr>
                <w:fldChar w:fldCharType="end"/>
              </w:r>
            </w:p>
          </w:sdtContent>
        </w:sdt>
      </w:sdtContent>
    </w:sdt>
    <w:p w14:paraId="702139F8" w14:textId="77777777" w:rsidR="00262021" w:rsidRPr="00587B4D" w:rsidRDefault="00262021" w:rsidP="00587B4D">
      <w:pPr>
        <w:spacing w:line="480" w:lineRule="auto"/>
        <w:jc w:val="both"/>
        <w:rPr>
          <w:rFonts w:ascii="Times New Roman" w:hAnsi="Times New Roman" w:cs="Times New Roman"/>
          <w:sz w:val="24"/>
          <w:szCs w:val="24"/>
        </w:rPr>
      </w:pPr>
    </w:p>
    <w:sectPr w:rsidR="00262021" w:rsidRPr="00587B4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3060F35"/>
    <w:multiLevelType w:val="hybridMultilevel"/>
    <w:tmpl w:val="3440C7B2"/>
    <w:lvl w:ilvl="0" w:tplc="78C8FCA6">
      <w:start w:val="650"/>
      <w:numFmt w:val="bullet"/>
      <w:lvlText w:val="-"/>
      <w:lvlJc w:val="left"/>
      <w:pPr>
        <w:ind w:left="1127" w:hanging="360"/>
      </w:pPr>
      <w:rPr>
        <w:rFonts w:ascii="Calibri" w:eastAsiaTheme="minorHAnsi" w:hAnsi="Calibri" w:cs="Calibri" w:hint="default"/>
      </w:rPr>
    </w:lvl>
    <w:lvl w:ilvl="1" w:tplc="0C090003" w:tentative="1">
      <w:start w:val="1"/>
      <w:numFmt w:val="bullet"/>
      <w:lvlText w:val="o"/>
      <w:lvlJc w:val="left"/>
      <w:pPr>
        <w:ind w:left="1847" w:hanging="360"/>
      </w:pPr>
      <w:rPr>
        <w:rFonts w:ascii="Courier New" w:hAnsi="Courier New" w:cs="Courier New" w:hint="default"/>
      </w:rPr>
    </w:lvl>
    <w:lvl w:ilvl="2" w:tplc="0C090005" w:tentative="1">
      <w:start w:val="1"/>
      <w:numFmt w:val="bullet"/>
      <w:lvlText w:val=""/>
      <w:lvlJc w:val="left"/>
      <w:pPr>
        <w:ind w:left="2567" w:hanging="360"/>
      </w:pPr>
      <w:rPr>
        <w:rFonts w:ascii="Wingdings" w:hAnsi="Wingdings" w:hint="default"/>
      </w:rPr>
    </w:lvl>
    <w:lvl w:ilvl="3" w:tplc="0C090001" w:tentative="1">
      <w:start w:val="1"/>
      <w:numFmt w:val="bullet"/>
      <w:lvlText w:val=""/>
      <w:lvlJc w:val="left"/>
      <w:pPr>
        <w:ind w:left="3287" w:hanging="360"/>
      </w:pPr>
      <w:rPr>
        <w:rFonts w:ascii="Symbol" w:hAnsi="Symbol" w:hint="default"/>
      </w:rPr>
    </w:lvl>
    <w:lvl w:ilvl="4" w:tplc="0C090003" w:tentative="1">
      <w:start w:val="1"/>
      <w:numFmt w:val="bullet"/>
      <w:lvlText w:val="o"/>
      <w:lvlJc w:val="left"/>
      <w:pPr>
        <w:ind w:left="4007" w:hanging="360"/>
      </w:pPr>
      <w:rPr>
        <w:rFonts w:ascii="Courier New" w:hAnsi="Courier New" w:cs="Courier New" w:hint="default"/>
      </w:rPr>
    </w:lvl>
    <w:lvl w:ilvl="5" w:tplc="0C090005" w:tentative="1">
      <w:start w:val="1"/>
      <w:numFmt w:val="bullet"/>
      <w:lvlText w:val=""/>
      <w:lvlJc w:val="left"/>
      <w:pPr>
        <w:ind w:left="4727" w:hanging="360"/>
      </w:pPr>
      <w:rPr>
        <w:rFonts w:ascii="Wingdings" w:hAnsi="Wingdings" w:hint="default"/>
      </w:rPr>
    </w:lvl>
    <w:lvl w:ilvl="6" w:tplc="0C090001" w:tentative="1">
      <w:start w:val="1"/>
      <w:numFmt w:val="bullet"/>
      <w:lvlText w:val=""/>
      <w:lvlJc w:val="left"/>
      <w:pPr>
        <w:ind w:left="5447" w:hanging="360"/>
      </w:pPr>
      <w:rPr>
        <w:rFonts w:ascii="Symbol" w:hAnsi="Symbol" w:hint="default"/>
      </w:rPr>
    </w:lvl>
    <w:lvl w:ilvl="7" w:tplc="0C090003" w:tentative="1">
      <w:start w:val="1"/>
      <w:numFmt w:val="bullet"/>
      <w:lvlText w:val="o"/>
      <w:lvlJc w:val="left"/>
      <w:pPr>
        <w:ind w:left="6167" w:hanging="360"/>
      </w:pPr>
      <w:rPr>
        <w:rFonts w:ascii="Courier New" w:hAnsi="Courier New" w:cs="Courier New" w:hint="default"/>
      </w:rPr>
    </w:lvl>
    <w:lvl w:ilvl="8" w:tplc="0C090005" w:tentative="1">
      <w:start w:val="1"/>
      <w:numFmt w:val="bullet"/>
      <w:lvlText w:val=""/>
      <w:lvlJc w:val="left"/>
      <w:pPr>
        <w:ind w:left="6887"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021"/>
    <w:rsid w:val="001952C5"/>
    <w:rsid w:val="001B508B"/>
    <w:rsid w:val="00262021"/>
    <w:rsid w:val="002C2A45"/>
    <w:rsid w:val="002C4A65"/>
    <w:rsid w:val="0039286F"/>
    <w:rsid w:val="003D1134"/>
    <w:rsid w:val="00414492"/>
    <w:rsid w:val="00414726"/>
    <w:rsid w:val="005565D0"/>
    <w:rsid w:val="00587B4D"/>
    <w:rsid w:val="005975B1"/>
    <w:rsid w:val="00927F34"/>
    <w:rsid w:val="00940BB6"/>
    <w:rsid w:val="00B94827"/>
    <w:rsid w:val="00C81B10"/>
    <w:rsid w:val="00CF594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D658CB"/>
  <w15:chartTrackingRefBased/>
  <w15:docId w15:val="{CC9238BA-5C83-461E-BD6E-5529C5A094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81B10"/>
    <w:pPr>
      <w:keepNext/>
      <w:keepLines/>
      <w:spacing w:before="240" w:after="0"/>
      <w:outlineLvl w:val="0"/>
    </w:pPr>
    <w:rPr>
      <w:rFonts w:asciiTheme="majorHAnsi" w:eastAsiaTheme="majorEastAsia" w:hAnsiTheme="majorHAnsi" w:cstheme="majorBidi"/>
      <w:color w:val="2F5496" w:themeColor="accent1" w:themeShade="BF"/>
      <w:sz w:val="32"/>
      <w:szCs w:val="3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2021"/>
    <w:pPr>
      <w:ind w:left="720"/>
      <w:contextualSpacing/>
    </w:pPr>
  </w:style>
  <w:style w:type="character" w:customStyle="1" w:styleId="Heading1Char">
    <w:name w:val="Heading 1 Char"/>
    <w:basedOn w:val="DefaultParagraphFont"/>
    <w:link w:val="Heading1"/>
    <w:uiPriority w:val="9"/>
    <w:rsid w:val="00C81B10"/>
    <w:rPr>
      <w:rFonts w:asciiTheme="majorHAnsi" w:eastAsiaTheme="majorEastAsia" w:hAnsiTheme="majorHAnsi" w:cstheme="majorBidi"/>
      <w:color w:val="2F5496" w:themeColor="accent1" w:themeShade="BF"/>
      <w:sz w:val="32"/>
      <w:szCs w:val="32"/>
      <w:lang w:val="en-US"/>
    </w:rPr>
  </w:style>
  <w:style w:type="paragraph" w:styleId="Bibliography">
    <w:name w:val="Bibliography"/>
    <w:basedOn w:val="Normal"/>
    <w:next w:val="Normal"/>
    <w:uiPriority w:val="37"/>
    <w:unhideWhenUsed/>
    <w:rsid w:val="00C81B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91802">
      <w:bodyDiv w:val="1"/>
      <w:marLeft w:val="0"/>
      <w:marRight w:val="0"/>
      <w:marTop w:val="0"/>
      <w:marBottom w:val="0"/>
      <w:divBdr>
        <w:top w:val="none" w:sz="0" w:space="0" w:color="auto"/>
        <w:left w:val="none" w:sz="0" w:space="0" w:color="auto"/>
        <w:bottom w:val="none" w:sz="0" w:space="0" w:color="auto"/>
        <w:right w:val="none" w:sz="0" w:space="0" w:color="auto"/>
      </w:divBdr>
    </w:div>
    <w:div w:id="184249600">
      <w:bodyDiv w:val="1"/>
      <w:marLeft w:val="0"/>
      <w:marRight w:val="0"/>
      <w:marTop w:val="0"/>
      <w:marBottom w:val="0"/>
      <w:divBdr>
        <w:top w:val="none" w:sz="0" w:space="0" w:color="auto"/>
        <w:left w:val="none" w:sz="0" w:space="0" w:color="auto"/>
        <w:bottom w:val="none" w:sz="0" w:space="0" w:color="auto"/>
        <w:right w:val="none" w:sz="0" w:space="0" w:color="auto"/>
      </w:divBdr>
    </w:div>
    <w:div w:id="219286563">
      <w:bodyDiv w:val="1"/>
      <w:marLeft w:val="0"/>
      <w:marRight w:val="0"/>
      <w:marTop w:val="0"/>
      <w:marBottom w:val="0"/>
      <w:divBdr>
        <w:top w:val="none" w:sz="0" w:space="0" w:color="auto"/>
        <w:left w:val="none" w:sz="0" w:space="0" w:color="auto"/>
        <w:bottom w:val="none" w:sz="0" w:space="0" w:color="auto"/>
        <w:right w:val="none" w:sz="0" w:space="0" w:color="auto"/>
      </w:divBdr>
    </w:div>
    <w:div w:id="246231821">
      <w:bodyDiv w:val="1"/>
      <w:marLeft w:val="0"/>
      <w:marRight w:val="0"/>
      <w:marTop w:val="0"/>
      <w:marBottom w:val="0"/>
      <w:divBdr>
        <w:top w:val="none" w:sz="0" w:space="0" w:color="auto"/>
        <w:left w:val="none" w:sz="0" w:space="0" w:color="auto"/>
        <w:bottom w:val="none" w:sz="0" w:space="0" w:color="auto"/>
        <w:right w:val="none" w:sz="0" w:space="0" w:color="auto"/>
      </w:divBdr>
    </w:div>
    <w:div w:id="292950005">
      <w:bodyDiv w:val="1"/>
      <w:marLeft w:val="0"/>
      <w:marRight w:val="0"/>
      <w:marTop w:val="0"/>
      <w:marBottom w:val="0"/>
      <w:divBdr>
        <w:top w:val="none" w:sz="0" w:space="0" w:color="auto"/>
        <w:left w:val="none" w:sz="0" w:space="0" w:color="auto"/>
        <w:bottom w:val="none" w:sz="0" w:space="0" w:color="auto"/>
        <w:right w:val="none" w:sz="0" w:space="0" w:color="auto"/>
      </w:divBdr>
    </w:div>
    <w:div w:id="331756860">
      <w:bodyDiv w:val="1"/>
      <w:marLeft w:val="0"/>
      <w:marRight w:val="0"/>
      <w:marTop w:val="0"/>
      <w:marBottom w:val="0"/>
      <w:divBdr>
        <w:top w:val="none" w:sz="0" w:space="0" w:color="auto"/>
        <w:left w:val="none" w:sz="0" w:space="0" w:color="auto"/>
        <w:bottom w:val="none" w:sz="0" w:space="0" w:color="auto"/>
        <w:right w:val="none" w:sz="0" w:space="0" w:color="auto"/>
      </w:divBdr>
    </w:div>
    <w:div w:id="366181018">
      <w:bodyDiv w:val="1"/>
      <w:marLeft w:val="0"/>
      <w:marRight w:val="0"/>
      <w:marTop w:val="0"/>
      <w:marBottom w:val="0"/>
      <w:divBdr>
        <w:top w:val="none" w:sz="0" w:space="0" w:color="auto"/>
        <w:left w:val="none" w:sz="0" w:space="0" w:color="auto"/>
        <w:bottom w:val="none" w:sz="0" w:space="0" w:color="auto"/>
        <w:right w:val="none" w:sz="0" w:space="0" w:color="auto"/>
      </w:divBdr>
    </w:div>
    <w:div w:id="448429323">
      <w:bodyDiv w:val="1"/>
      <w:marLeft w:val="0"/>
      <w:marRight w:val="0"/>
      <w:marTop w:val="0"/>
      <w:marBottom w:val="0"/>
      <w:divBdr>
        <w:top w:val="none" w:sz="0" w:space="0" w:color="auto"/>
        <w:left w:val="none" w:sz="0" w:space="0" w:color="auto"/>
        <w:bottom w:val="none" w:sz="0" w:space="0" w:color="auto"/>
        <w:right w:val="none" w:sz="0" w:space="0" w:color="auto"/>
      </w:divBdr>
    </w:div>
    <w:div w:id="728964830">
      <w:bodyDiv w:val="1"/>
      <w:marLeft w:val="0"/>
      <w:marRight w:val="0"/>
      <w:marTop w:val="0"/>
      <w:marBottom w:val="0"/>
      <w:divBdr>
        <w:top w:val="none" w:sz="0" w:space="0" w:color="auto"/>
        <w:left w:val="none" w:sz="0" w:space="0" w:color="auto"/>
        <w:bottom w:val="none" w:sz="0" w:space="0" w:color="auto"/>
        <w:right w:val="none" w:sz="0" w:space="0" w:color="auto"/>
      </w:divBdr>
    </w:div>
    <w:div w:id="783772451">
      <w:bodyDiv w:val="1"/>
      <w:marLeft w:val="0"/>
      <w:marRight w:val="0"/>
      <w:marTop w:val="0"/>
      <w:marBottom w:val="0"/>
      <w:divBdr>
        <w:top w:val="none" w:sz="0" w:space="0" w:color="auto"/>
        <w:left w:val="none" w:sz="0" w:space="0" w:color="auto"/>
        <w:bottom w:val="none" w:sz="0" w:space="0" w:color="auto"/>
        <w:right w:val="none" w:sz="0" w:space="0" w:color="auto"/>
      </w:divBdr>
    </w:div>
    <w:div w:id="939486935">
      <w:bodyDiv w:val="1"/>
      <w:marLeft w:val="0"/>
      <w:marRight w:val="0"/>
      <w:marTop w:val="0"/>
      <w:marBottom w:val="0"/>
      <w:divBdr>
        <w:top w:val="none" w:sz="0" w:space="0" w:color="auto"/>
        <w:left w:val="none" w:sz="0" w:space="0" w:color="auto"/>
        <w:bottom w:val="none" w:sz="0" w:space="0" w:color="auto"/>
        <w:right w:val="none" w:sz="0" w:space="0" w:color="auto"/>
      </w:divBdr>
    </w:div>
    <w:div w:id="956259784">
      <w:bodyDiv w:val="1"/>
      <w:marLeft w:val="0"/>
      <w:marRight w:val="0"/>
      <w:marTop w:val="0"/>
      <w:marBottom w:val="0"/>
      <w:divBdr>
        <w:top w:val="none" w:sz="0" w:space="0" w:color="auto"/>
        <w:left w:val="none" w:sz="0" w:space="0" w:color="auto"/>
        <w:bottom w:val="none" w:sz="0" w:space="0" w:color="auto"/>
        <w:right w:val="none" w:sz="0" w:space="0" w:color="auto"/>
      </w:divBdr>
    </w:div>
    <w:div w:id="1025135227">
      <w:bodyDiv w:val="1"/>
      <w:marLeft w:val="0"/>
      <w:marRight w:val="0"/>
      <w:marTop w:val="0"/>
      <w:marBottom w:val="0"/>
      <w:divBdr>
        <w:top w:val="none" w:sz="0" w:space="0" w:color="auto"/>
        <w:left w:val="none" w:sz="0" w:space="0" w:color="auto"/>
        <w:bottom w:val="none" w:sz="0" w:space="0" w:color="auto"/>
        <w:right w:val="none" w:sz="0" w:space="0" w:color="auto"/>
      </w:divBdr>
    </w:div>
    <w:div w:id="1080785851">
      <w:bodyDiv w:val="1"/>
      <w:marLeft w:val="0"/>
      <w:marRight w:val="0"/>
      <w:marTop w:val="0"/>
      <w:marBottom w:val="0"/>
      <w:divBdr>
        <w:top w:val="none" w:sz="0" w:space="0" w:color="auto"/>
        <w:left w:val="none" w:sz="0" w:space="0" w:color="auto"/>
        <w:bottom w:val="none" w:sz="0" w:space="0" w:color="auto"/>
        <w:right w:val="none" w:sz="0" w:space="0" w:color="auto"/>
      </w:divBdr>
    </w:div>
    <w:div w:id="1083069545">
      <w:bodyDiv w:val="1"/>
      <w:marLeft w:val="0"/>
      <w:marRight w:val="0"/>
      <w:marTop w:val="0"/>
      <w:marBottom w:val="0"/>
      <w:divBdr>
        <w:top w:val="none" w:sz="0" w:space="0" w:color="auto"/>
        <w:left w:val="none" w:sz="0" w:space="0" w:color="auto"/>
        <w:bottom w:val="none" w:sz="0" w:space="0" w:color="auto"/>
        <w:right w:val="none" w:sz="0" w:space="0" w:color="auto"/>
      </w:divBdr>
    </w:div>
    <w:div w:id="1114515375">
      <w:bodyDiv w:val="1"/>
      <w:marLeft w:val="0"/>
      <w:marRight w:val="0"/>
      <w:marTop w:val="0"/>
      <w:marBottom w:val="0"/>
      <w:divBdr>
        <w:top w:val="none" w:sz="0" w:space="0" w:color="auto"/>
        <w:left w:val="none" w:sz="0" w:space="0" w:color="auto"/>
        <w:bottom w:val="none" w:sz="0" w:space="0" w:color="auto"/>
        <w:right w:val="none" w:sz="0" w:space="0" w:color="auto"/>
      </w:divBdr>
    </w:div>
    <w:div w:id="1266960568">
      <w:bodyDiv w:val="1"/>
      <w:marLeft w:val="0"/>
      <w:marRight w:val="0"/>
      <w:marTop w:val="0"/>
      <w:marBottom w:val="0"/>
      <w:divBdr>
        <w:top w:val="none" w:sz="0" w:space="0" w:color="auto"/>
        <w:left w:val="none" w:sz="0" w:space="0" w:color="auto"/>
        <w:bottom w:val="none" w:sz="0" w:space="0" w:color="auto"/>
        <w:right w:val="none" w:sz="0" w:space="0" w:color="auto"/>
      </w:divBdr>
    </w:div>
    <w:div w:id="1455324636">
      <w:bodyDiv w:val="1"/>
      <w:marLeft w:val="0"/>
      <w:marRight w:val="0"/>
      <w:marTop w:val="0"/>
      <w:marBottom w:val="0"/>
      <w:divBdr>
        <w:top w:val="none" w:sz="0" w:space="0" w:color="auto"/>
        <w:left w:val="none" w:sz="0" w:space="0" w:color="auto"/>
        <w:bottom w:val="none" w:sz="0" w:space="0" w:color="auto"/>
        <w:right w:val="none" w:sz="0" w:space="0" w:color="auto"/>
      </w:divBdr>
    </w:div>
    <w:div w:id="1514344635">
      <w:bodyDiv w:val="1"/>
      <w:marLeft w:val="0"/>
      <w:marRight w:val="0"/>
      <w:marTop w:val="0"/>
      <w:marBottom w:val="0"/>
      <w:divBdr>
        <w:top w:val="none" w:sz="0" w:space="0" w:color="auto"/>
        <w:left w:val="none" w:sz="0" w:space="0" w:color="auto"/>
        <w:bottom w:val="none" w:sz="0" w:space="0" w:color="auto"/>
        <w:right w:val="none" w:sz="0" w:space="0" w:color="auto"/>
      </w:divBdr>
    </w:div>
    <w:div w:id="1516726191">
      <w:bodyDiv w:val="1"/>
      <w:marLeft w:val="0"/>
      <w:marRight w:val="0"/>
      <w:marTop w:val="0"/>
      <w:marBottom w:val="0"/>
      <w:divBdr>
        <w:top w:val="none" w:sz="0" w:space="0" w:color="auto"/>
        <w:left w:val="none" w:sz="0" w:space="0" w:color="auto"/>
        <w:bottom w:val="none" w:sz="0" w:space="0" w:color="auto"/>
        <w:right w:val="none" w:sz="0" w:space="0" w:color="auto"/>
      </w:divBdr>
    </w:div>
    <w:div w:id="1542785443">
      <w:bodyDiv w:val="1"/>
      <w:marLeft w:val="0"/>
      <w:marRight w:val="0"/>
      <w:marTop w:val="0"/>
      <w:marBottom w:val="0"/>
      <w:divBdr>
        <w:top w:val="none" w:sz="0" w:space="0" w:color="auto"/>
        <w:left w:val="none" w:sz="0" w:space="0" w:color="auto"/>
        <w:bottom w:val="none" w:sz="0" w:space="0" w:color="auto"/>
        <w:right w:val="none" w:sz="0" w:space="0" w:color="auto"/>
      </w:divBdr>
    </w:div>
    <w:div w:id="1649168151">
      <w:bodyDiv w:val="1"/>
      <w:marLeft w:val="0"/>
      <w:marRight w:val="0"/>
      <w:marTop w:val="0"/>
      <w:marBottom w:val="0"/>
      <w:divBdr>
        <w:top w:val="none" w:sz="0" w:space="0" w:color="auto"/>
        <w:left w:val="none" w:sz="0" w:space="0" w:color="auto"/>
        <w:bottom w:val="none" w:sz="0" w:space="0" w:color="auto"/>
        <w:right w:val="none" w:sz="0" w:space="0" w:color="auto"/>
      </w:divBdr>
    </w:div>
    <w:div w:id="1800151542">
      <w:bodyDiv w:val="1"/>
      <w:marLeft w:val="0"/>
      <w:marRight w:val="0"/>
      <w:marTop w:val="0"/>
      <w:marBottom w:val="0"/>
      <w:divBdr>
        <w:top w:val="none" w:sz="0" w:space="0" w:color="auto"/>
        <w:left w:val="none" w:sz="0" w:space="0" w:color="auto"/>
        <w:bottom w:val="none" w:sz="0" w:space="0" w:color="auto"/>
        <w:right w:val="none" w:sz="0" w:space="0" w:color="auto"/>
      </w:divBdr>
    </w:div>
    <w:div w:id="2027363607">
      <w:bodyDiv w:val="1"/>
      <w:marLeft w:val="0"/>
      <w:marRight w:val="0"/>
      <w:marTop w:val="0"/>
      <w:marBottom w:val="0"/>
      <w:divBdr>
        <w:top w:val="none" w:sz="0" w:space="0" w:color="auto"/>
        <w:left w:val="none" w:sz="0" w:space="0" w:color="auto"/>
        <w:bottom w:val="none" w:sz="0" w:space="0" w:color="auto"/>
        <w:right w:val="none" w:sz="0" w:space="0" w:color="auto"/>
      </w:divBdr>
    </w:div>
    <w:div w:id="2076928579">
      <w:bodyDiv w:val="1"/>
      <w:marLeft w:val="0"/>
      <w:marRight w:val="0"/>
      <w:marTop w:val="0"/>
      <w:marBottom w:val="0"/>
      <w:divBdr>
        <w:top w:val="none" w:sz="0" w:space="0" w:color="auto"/>
        <w:left w:val="none" w:sz="0" w:space="0" w:color="auto"/>
        <w:bottom w:val="none" w:sz="0" w:space="0" w:color="auto"/>
        <w:right w:val="none" w:sz="0" w:space="0" w:color="auto"/>
      </w:divBdr>
    </w:div>
    <w:div w:id="21086916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Hea</b:Tag>
    <b:SourceType>ConferenceProceedings</b:SourceType>
    <b:Guid>{2DB004B1-B94F-4FAA-893D-DB66368EE941}</b:Guid>
    <b:Title>Using Social Media Technology as an Educational Tool</b:Title>
    <b:Pages>194-201</b:Pages>
    <b:Author>
      <b:Author>
        <b:NameList>
          <b:Person>
            <b:Last>Heavin</b:Last>
            <b:First>Ciara</b:First>
          </b:Person>
          <b:Person>
            <b:Last>Neville</b:Last>
            <b:First>Karen</b:First>
          </b:Person>
        </b:NameList>
      </b:Author>
    </b:Author>
    <b:Year>2012</b:Year>
    <b:ConferenceName>Proceedings of the European Conference on Games Based Learning</b:ConferenceName>
    <b:RefOrder>1</b:RefOrder>
  </b:Source>
  <b:Source>
    <b:Tag>Mao15</b:Tag>
    <b:SourceType>JournalArticle</b:SourceType>
    <b:Guid>{5608F084-F4F2-4FD0-A504-890A110996B9}</b:Guid>
    <b:Title>Social Media for learning: A mised methods study on high school students' technology affordances and perspectives</b:Title>
    <b:JournalName>Computers in Human Behaviour</b:JournalName>
    <b:Year>2014</b:Year>
    <b:Author>
      <b:Author>
        <b:NameList>
          <b:Person>
            <b:Last>Mao</b:Last>
            <b:First>Jin</b:First>
          </b:Person>
        </b:NameList>
      </b:Author>
    </b:Author>
    <b:Pages>113-223</b:Pages>
    <b:Volume>33</b:Volume>
    <b:URL>http://dx.doi.org/10.1016/j.chb.2014.01.002</b:URL>
    <b:RefOrder>2</b:RefOrder>
  </b:Source>
  <b:Source>
    <b:Tag>Ols10</b:Tag>
    <b:SourceType>JournalArticle</b:SourceType>
    <b:Guid>{2ABF4AD9-1066-4FB0-9DF3-CB12CC8EB187}</b:Guid>
    <b:Title>Using Gaming Simulation to Evaluate Bioterrorism and Emergency</b:Title>
    <b:JournalName>Public Health Reports</b:JournalName>
    <b:Year>2010</b:Year>
    <b:Pages>468-477</b:Pages>
    <b:Author>
      <b:Author>
        <b:NameList>
          <b:Person>
            <b:Last>Olson</b:Last>
            <b:Middle>K.</b:Middle>
            <b:First>Debra</b:First>
          </b:Person>
          <b:Person>
            <b:Last>Scheller</b:Last>
            <b:First>Amy</b:First>
          </b:Person>
          <b:Person>
            <b:Last>Larson</b:Last>
            <b:First>Susan</b:First>
          </b:Person>
          <b:Person>
            <b:Last>Lindeke</b:Last>
            <b:First>Linda</b:First>
          </b:Person>
          <b:Person>
            <b:Last>Edwardson</b:Last>
            <b:First>Sandra</b:First>
          </b:Person>
        </b:NameList>
      </b:Author>
    </b:Author>
    <b:Volume>125</b:Volume>
    <b:RefOrder>4</b:RefOrder>
  </b:Source>
  <b:Source>
    <b:Tag>Kim18</b:Tag>
    <b:SourceType>Book</b:SourceType>
    <b:Guid>{3353D88A-FC62-4B38-8969-E24DC358E810}</b:Guid>
    <b:Title>Gamification in Learning and Education: Enjoy Learning Like Gaming</b:Title>
    <b:Year>2018</b:Year>
    <b:Author>
      <b:Author>
        <b:NameList>
          <b:Person>
            <b:Last>Kim</b:Last>
            <b:First>Sangkyun</b:First>
          </b:Person>
          <b:Person>
            <b:Last>Song</b:Last>
            <b:First>Kibong</b:First>
          </b:Person>
          <b:Person>
            <b:Last>Lockee</b:Last>
            <b:First>Barbara</b:First>
          </b:Person>
          <b:Person>
            <b:Last>Burton</b:Last>
            <b:First>John</b:First>
          </b:Person>
        </b:NameList>
      </b:Author>
    </b:Author>
    <b:Publisher>Springer</b:Publisher>
    <b:CountryRegion>Switzerland</b:CountryRegion>
    <b:DOI>10.1007/978-3-319-47283-6</b:DOI>
    <b:RefOrder>6</b:RefOrder>
  </b:Source>
  <b:Source>
    <b:Tag>Shu11</b:Tag>
    <b:SourceType>BookSection</b:SourceType>
    <b:Guid>{CEF65C28-ED4E-40F8-BA3A-BC455470593E}</b:Guid>
    <b:Title>Chapter 4: Where Streams Converge: Using Evidence-Centered Design to Assess Quest to Learn</b:Title>
    <b:Year>2011</b:Year>
    <b:Publisher>Information Age Publishing</b:Publisher>
    <b:BookTitle>Technology-Based Assessments for 21st Century Skills</b:BookTitle>
    <b:Pages>91-124</b:Pages>
    <b:Author>
      <b:Author>
        <b:NameList>
          <b:Person>
            <b:Last>Shute</b:Last>
            <b:Middle>J</b:Middle>
            <b:First>Valerie</b:First>
          </b:Person>
          <b:Person>
            <b:Last>Torres</b:Last>
            <b:Middle>J</b:Middle>
            <b:First>Robert</b:First>
          </b:Person>
        </b:NameList>
      </b:Author>
    </b:Author>
    <b:City>Charlotte</b:City>
    <b:CountryRegion>USA</b:CountryRegion>
    <b:RefOrder>5</b:RefOrder>
  </b:Source>
  <b:Source>
    <b:Tag>Gib15</b:Tag>
    <b:SourceType>JournalArticle</b:SourceType>
    <b:Guid>{70E86D34-4988-4358-AF39-ED9C0A9EEB33}</b:Guid>
    <b:Title>Digital Badges in Education</b:Title>
    <b:Pages>403 - 410</b:Pages>
    <b:Year>2015</b:Year>
    <b:JournalName>Education and InformationTechnologies</b:JournalName>
    <b:Author>
      <b:Author>
        <b:NameList>
          <b:Person>
            <b:Last>Gibson</b:Last>
            <b:First>David</b:First>
          </b:Person>
          <b:Person>
            <b:Last>Ostashewski</b:Last>
            <b:First>Nathaniel</b:First>
          </b:Person>
          <b:Person>
            <b:Last>Flintoff</b:Last>
            <b:First>Kim</b:First>
          </b:Person>
          <b:Person>
            <b:Last>Grant</b:Last>
            <b:First>Sheryl</b:First>
          </b:Person>
          <b:Person>
            <b:Last>Knight</b:Last>
            <b:First>Erin</b:First>
          </b:Person>
        </b:NameList>
      </b:Author>
    </b:Author>
    <b:Volume>20</b:Volume>
    <b:DOI>10.1007/s10639-013-9291-7</b:DOI>
    <b:Issue>2</b:Issue>
    <b:RefOrder>3</b:RefOrder>
  </b:Source>
  <b:Source>
    <b:Tag>Che181</b:Tag>
    <b:SourceType>JournalArticle</b:SourceType>
    <b:Guid>{283452AF-FB07-4EFB-999E-D446F0934226}</b:Guid>
    <b:Title>Goal Setting and Open Digital Badges in Higher Education</b:Title>
    <b:JournalName>TechTrends</b:JournalName>
    <b:Year>2018</b:Year>
    <b:Pages>190 - 196</b:Pages>
    <b:Author>
      <b:Author>
        <b:NameList>
          <b:Person>
            <b:Last>Cheng</b:Last>
            <b:First>Zui</b:First>
          </b:Person>
          <b:Person>
            <b:Last>Watson</b:Last>
            <b:Middle>Lee</b:Middle>
            <b:First>Sunnie</b:First>
          </b:Person>
          <b:Person>
            <b:Last>Newby</b:Last>
            <b:Middle>James</b:Middle>
            <b:First>Timothy</b:First>
          </b:Person>
        </b:NameList>
      </b:Author>
    </b:Author>
    <b:Volume>62</b:Volume>
    <b:Issue>2</b:Issue>
    <b:DOI>10.1007/s11528-018-0249-x</b:DOI>
    <b:RefOrder>8</b:RefOrder>
  </b:Source>
  <b:Source>
    <b:Tag>MaY20</b:Tag>
    <b:SourceType>JournalArticle</b:SourceType>
    <b:Guid>{5FBEF75D-1021-40D2-8E70-FC9005C40B26}</b:Guid>
    <b:Title>Current Status, Issues, and Challenges of Blockchain Applications in Education</b:Title>
    <b:Year>2020</b:Year>
    <b:Pages>20 - 31</b:Pages>
    <b:Author>
      <b:Author>
        <b:NameList>
          <b:Person>
            <b:Last>Ma</b:Last>
            <b:First>Yan</b:First>
          </b:Person>
          <b:Person>
            <b:Last>Fang</b:Last>
            <b:First>Yiming</b:First>
          </b:Person>
        </b:NameList>
      </b:Author>
    </b:Author>
    <b:JournalName>International Journal of Emerging Technologies in Learning</b:JournalName>
    <b:Volume>15</b:Volume>
    <b:Issue>12</b:Issue>
    <b:DOI>10.3991/ijet.v15i12.13797</b:DOI>
    <b:RefOrder>9</b:RefOrder>
  </b:Source>
  <b:Source>
    <b:Tag>Che18</b:Tag>
    <b:SourceType>JournalArticle</b:SourceType>
    <b:Guid>{307A3996-5600-480C-A898-B6FD58C83214}</b:Guid>
    <b:Title>Exploring blockchain and its potential applications for education</b:Title>
    <b:JournalName>Smart Learning Environments</b:JournalName>
    <b:Year>2018</b:Year>
    <b:Pages>1-10</b:Pages>
    <b:Author>
      <b:Author>
        <b:NameList>
          <b:Person>
            <b:Last>Chen</b:Last>
            <b:First>Guang</b:First>
          </b:Person>
          <b:Person>
            <b:Last>Xu</b:Last>
            <b:First>Bing</b:First>
          </b:Person>
          <b:Person>
            <b:Last>Lu</b:Last>
            <b:First>Manli</b:First>
          </b:Person>
          <b:Person>
            <b:Last>Chen</b:Last>
            <b:First>Nian-Shing</b:First>
          </b:Person>
        </b:NameList>
      </b:Author>
    </b:Author>
    <b:Publisher>Springer Open</b:Publisher>
    <b:Volume>5</b:Volume>
    <b:Issue>1</b:Issue>
    <b:DOI>10.1186/s40561-017-0050-x</b:DOI>
    <b:RefOrder>10</b:RefOrder>
  </b:Source>
  <b:Source>
    <b:Tag>Gon18</b:Tag>
    <b:SourceType>ConferenceProceedings</b:SourceType>
    <b:Guid>{405D9D24-A421-4FF5-9254-7322CB331655}</b:Guid>
    <b:Title>Parallel-Education-Blockchain Driven Smart Education: Challenges and Issues</b:Title>
    <b:Year>2018</b:Year>
    <b:Pages>2390 - 2395</b:Pages>
    <b:Author>
      <b:Author>
        <b:NameList>
          <b:Person>
            <b:Last>Gong</b:Last>
            <b:First>Xiaoyan</b:First>
          </b:Person>
          <b:Person>
            <b:Last>Liu</b:Last>
            <b:First>Xiwei</b:First>
          </b:Person>
          <b:Person>
            <b:Last>Jing</b:Last>
            <b:First>Sifeng</b:First>
          </b:Person>
        </b:NameList>
      </b:Author>
    </b:Author>
    <b:ConferenceName>2018 Chinese Automation Congress (CAC)</b:ConferenceName>
    <b:DOI>10.1109/CAC.2018.8623198</b:DOI>
    <b:RefOrder>11</b:RefOrder>
  </b:Source>
  <b:Source>
    <b:Tag>Ext18</b:Tag>
    <b:SourceType>InternetSite</b:SourceType>
    <b:Guid>{DA5040A5-0ACA-4A8B-A455-B276545EA6B2}</b:Guid>
    <b:Year>2018</b:Year>
    <b:URL>https://www.youtube.com/watch?v=YNhP5b9YafM</b:URL>
    <b:Author>
      <b:Author>
        <b:NameList>
          <b:Person>
            <b:Last>Extra Credits</b:Last>
          </b:Person>
        </b:NameList>
      </b:Author>
    </b:Author>
    <b:Title>World of Warcraft Epidemiology - The Corrupted Blood Plague (And Why It Matters)</b:Title>
    <b:RefOrder>7</b:RefOrder>
  </b:Source>
</b:Sources>
</file>

<file path=customXml/itemProps1.xml><?xml version="1.0" encoding="utf-8"?>
<ds:datastoreItem xmlns:ds="http://schemas.openxmlformats.org/officeDocument/2006/customXml" ds:itemID="{BF09C95D-AC4A-4AD0-9347-D1CC7DE7E0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335</TotalTime>
  <Pages>4</Pages>
  <Words>1049</Words>
  <Characters>5983</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Simone Selic</dc:creator>
  <cp:keywords/>
  <dc:description/>
  <cp:lastModifiedBy> </cp:lastModifiedBy>
  <cp:revision>11</cp:revision>
  <dcterms:created xsi:type="dcterms:W3CDTF">2020-09-17T10:02:00Z</dcterms:created>
  <dcterms:modified xsi:type="dcterms:W3CDTF">2020-09-23T09:43:00Z</dcterms:modified>
</cp:coreProperties>
</file>