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D63C5" w14:textId="450E9A1B" w:rsidR="00E853F5" w:rsidRPr="003F1F8E" w:rsidRDefault="003F1F8E" w:rsidP="003F1F8E">
      <w:pPr>
        <w:spacing w:line="360" w:lineRule="auto"/>
        <w:jc w:val="center"/>
        <w:rPr>
          <w:rFonts w:ascii="Times New Roman" w:hAnsi="Times New Roman" w:cs="Times New Roman"/>
          <w:b/>
          <w:bCs/>
          <w:sz w:val="28"/>
          <w:szCs w:val="28"/>
          <w:u w:val="single"/>
        </w:rPr>
      </w:pPr>
      <w:r w:rsidRPr="003F1F8E">
        <w:rPr>
          <w:rFonts w:ascii="Times New Roman" w:hAnsi="Times New Roman" w:cs="Times New Roman"/>
          <w:b/>
          <w:bCs/>
          <w:sz w:val="28"/>
          <w:szCs w:val="28"/>
          <w:u w:val="single"/>
        </w:rPr>
        <w:t>A Critical Evaluation of</w:t>
      </w:r>
      <w:r w:rsidR="00E853F5" w:rsidRPr="003F1F8E">
        <w:rPr>
          <w:rFonts w:ascii="Times New Roman" w:hAnsi="Times New Roman" w:cs="Times New Roman"/>
          <w:b/>
          <w:bCs/>
          <w:sz w:val="28"/>
          <w:szCs w:val="28"/>
          <w:u w:val="single"/>
        </w:rPr>
        <w:t xml:space="preserve"> Gaming and Simulation</w:t>
      </w:r>
    </w:p>
    <w:p w14:paraId="33F1DFCD" w14:textId="4D6EAB0A" w:rsidR="00E853F5" w:rsidRPr="003F1F8E" w:rsidRDefault="00E853F5" w:rsidP="003F1F8E">
      <w:pPr>
        <w:spacing w:line="360" w:lineRule="auto"/>
        <w:jc w:val="both"/>
        <w:rPr>
          <w:rFonts w:ascii="Times New Roman" w:hAnsi="Times New Roman" w:cs="Times New Roman"/>
          <w:sz w:val="24"/>
          <w:szCs w:val="24"/>
        </w:rPr>
      </w:pPr>
      <w:bookmarkStart w:id="0" w:name="_Hlk50759424"/>
      <w:r w:rsidRPr="003F1F8E">
        <w:rPr>
          <w:rFonts w:ascii="Times New Roman" w:hAnsi="Times New Roman" w:cs="Times New Roman"/>
          <w:sz w:val="24"/>
          <w:szCs w:val="24"/>
        </w:rPr>
        <w:t>Gamification and simulation align with a range of pedagogical practices such as Social Constructivism, Problem based learning, Blooms Taxonomy, and Communities of Practice. Gaming requires learners to connect socially with other players and develop learning through social interactions</w:t>
      </w:r>
      <w:sdt>
        <w:sdtPr>
          <w:rPr>
            <w:rFonts w:ascii="Times New Roman" w:hAnsi="Times New Roman" w:cs="Times New Roman"/>
            <w:sz w:val="24"/>
            <w:szCs w:val="24"/>
          </w:rPr>
          <w:id w:val="1088897311"/>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"5, 42" \m Wel20 \m Cos \p 111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5, 42; Welcome to Minecraft: Education Edition, 2020; Costello, 2018, p. 111)</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whilst allowing the learner to utilise higher order thinking skills in order to solve problems and complete activities</w:t>
      </w:r>
      <w:sdt>
        <w:sdtPr>
          <w:rPr>
            <w:rFonts w:ascii="Times New Roman" w:hAnsi="Times New Roman" w:cs="Times New Roman"/>
            <w:sz w:val="24"/>
            <w:szCs w:val="24"/>
          </w:rPr>
          <w:id w:val="-1433582921"/>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"5, 35" \m Wel20 \m Cos \p 110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5, 35; Welcome to Minecraft: Education Edition, 2020; Costello, 2018, p. 110)</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Arguably, gamification and simulation provides opportunities for two of the most critical component that aligns with relevant pedagogies: in gaming and simulation learners to receive formative feedback</w:t>
      </w:r>
      <w:sdt>
        <w:sdtPr>
          <w:rPr>
            <w:rFonts w:ascii="Times New Roman" w:hAnsi="Times New Roman" w:cs="Times New Roman"/>
            <w:sz w:val="24"/>
            <w:szCs w:val="24"/>
          </w:rPr>
          <w:id w:val="2008175096"/>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"5, 43" \m Shu11 \p 92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5, 43; Shute &amp; Torres, 2011, p. 92)</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xml:space="preserve"> and are able to reflect and act upon this feedback, whilst teachers are able to utilise gaming structure to scaffold learning into suitable levels that ensure learners are able to be challenged at a level suitable for their learning</w:t>
      </w:r>
      <w:sdt>
        <w:sdtPr>
          <w:rPr>
            <w:rFonts w:ascii="Times New Roman" w:hAnsi="Times New Roman" w:cs="Times New Roman"/>
            <w:sz w:val="24"/>
            <w:szCs w:val="24"/>
          </w:rPr>
          <w:id w:val="-2147263454"/>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Cos \p "111, 112" \m Shu11 \p 92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(Costello, 2018, pp. 111, 112; Shute &amp; Torres, 2011, p. 92)</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Through the use of gamification, learners report and demonstrate an increase in performance as well as behaviour in their learning</w:t>
      </w:r>
      <w:sdt>
        <w:sdtPr>
          <w:rPr>
            <w:rFonts w:ascii="Times New Roman" w:hAnsi="Times New Roman" w:cs="Times New Roman"/>
            <w:sz w:val="24"/>
            <w:szCs w:val="24"/>
          </w:rPr>
          <w:id w:val="-1934418906"/>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"5, 43" \m Cos \p 111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5, 43; Costello, 2018, p. 111)</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w:t>
      </w:r>
    </w:p>
    <w:bookmarkEnd w:id="0"/>
    <w:p w14:paraId="5534D57D" w14:textId="77777777" w:rsidR="00E853F5" w:rsidRPr="003F1F8E" w:rsidRDefault="00E853F5" w:rsidP="003F1F8E">
      <w:pPr>
        <w:spacing w:line="360" w:lineRule="auto"/>
        <w:jc w:val="both"/>
        <w:rPr>
          <w:rFonts w:ascii="Times New Roman" w:hAnsi="Times New Roman" w:cs="Times New Roman"/>
          <w:sz w:val="24"/>
          <w:szCs w:val="24"/>
        </w:rPr>
      </w:pPr>
      <w:r w:rsidRPr="003F1F8E">
        <w:rPr>
          <w:rFonts w:ascii="Times New Roman" w:hAnsi="Times New Roman" w:cs="Times New Roman"/>
          <w:sz w:val="24"/>
          <w:szCs w:val="24"/>
        </w:rPr>
        <w:t>Studies have proven that learners find great satisfaction and enjoyment through gaming and simulation activities</w:t>
      </w:r>
      <w:sdt>
        <w:sdtPr>
          <w:rPr>
            <w:rFonts w:ascii="Times New Roman" w:hAnsi="Times New Roman" w:cs="Times New Roman"/>
            <w:sz w:val="24"/>
            <w:szCs w:val="24"/>
          </w:rPr>
          <w:id w:val="-58563521"/>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Ols10 \p 476 \m Shu11 \p 95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(Olson, Scheller, Larson, Lindeke, &amp; Edwardson, 2010, p. 476; Shute &amp; Torres, 2011, p. 95)</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Learners are able to engage more effectively due to the lack of barriers often found in traditional teaching and learning, and find that gaming and simulation is frequently inclusive of learners needs</w:t>
      </w:r>
      <w:sdt>
        <w:sdtPr>
          <w:rPr>
            <w:rFonts w:ascii="Times New Roman" w:hAnsi="Times New Roman" w:cs="Times New Roman"/>
            <w:sz w:val="24"/>
            <w:szCs w:val="24"/>
          </w:rPr>
          <w:id w:val="-1831358697"/>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Ols10 \p 476-477 \m Shu11 \p 93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(Olson, Scheller, Larson, Lindeke, &amp; Edwardson, 2010, pp. 476-477; Shute &amp; Torres, 2011, p. 93)</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Through a range of gaming characteristics such as goals, socialisation, progression and thrills, learners become motivated to engage</w:t>
      </w:r>
      <w:sdt>
        <w:sdtPr>
          <w:rPr>
            <w:rFonts w:ascii="Times New Roman" w:hAnsi="Times New Roman" w:cs="Times New Roman"/>
            <w:sz w:val="24"/>
            <w:szCs w:val="24"/>
          </w:rPr>
          <w:id w:val="611939846"/>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"5, 36" \m Cos \p 108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5, 36; Costello, 2018, p. 108)</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xml:space="preserve"> leading to an increase in learning and retention</w:t>
      </w:r>
      <w:sdt>
        <w:sdtPr>
          <w:rPr>
            <w:rFonts w:ascii="Times New Roman" w:hAnsi="Times New Roman" w:cs="Times New Roman"/>
            <w:sz w:val="24"/>
            <w:szCs w:val="24"/>
          </w:rPr>
          <w:id w:val="-1984847506"/>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36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 36)</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w:t>
      </w:r>
    </w:p>
    <w:p w14:paraId="7A6F2FA4" w14:textId="77777777" w:rsidR="00E853F5" w:rsidRPr="003F1F8E" w:rsidRDefault="00E853F5" w:rsidP="003F1F8E">
      <w:pPr>
        <w:spacing w:line="360" w:lineRule="auto"/>
        <w:jc w:val="both"/>
        <w:rPr>
          <w:rFonts w:ascii="Times New Roman" w:hAnsi="Times New Roman" w:cs="Times New Roman"/>
          <w:sz w:val="24"/>
          <w:szCs w:val="24"/>
          <w:lang w:val="en-US"/>
        </w:rPr>
      </w:pPr>
      <w:r w:rsidRPr="003F1F8E">
        <w:rPr>
          <w:rFonts w:ascii="Times New Roman" w:hAnsi="Times New Roman" w:cs="Times New Roman"/>
          <w:sz w:val="24"/>
          <w:szCs w:val="24"/>
        </w:rPr>
        <w:t>One of the biggest benefits of gaming and simulation is the ability to provide real world experience in a safe environment that may otherwise be impossible, too risk or unsuitable. Exposure to real world, authentic activities is essential for preparing learners</w:t>
      </w:r>
      <w:sdt>
        <w:sdtPr>
          <w:rPr>
            <w:rFonts w:ascii="Times New Roman" w:hAnsi="Times New Roman" w:cs="Times New Roman"/>
            <w:sz w:val="24"/>
            <w:szCs w:val="24"/>
          </w:rPr>
          <w:id w:val="-1889337377"/>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43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 43)</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Learning also requires demonstration of knowledge and skill</w:t>
      </w:r>
      <w:sdt>
        <w:sdtPr>
          <w:rPr>
            <w:rFonts w:ascii="Times New Roman" w:hAnsi="Times New Roman" w:cs="Times New Roman"/>
            <w:sz w:val="24"/>
            <w:szCs w:val="24"/>
          </w:rPr>
          <w:id w:val="-432435721"/>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Ols10 \p 469 \m Kim18 \p 43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(Olson, Scheller, Larson, Lindeke, &amp; Edwardson, 2010, p. 469; Kim, Song, Lockee, &amp; Burton, 2018, p. 43)</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xml:space="preserve">. Simulation provides the opportunity for learners to learn, receive feedback and demonstrate competency </w:t>
      </w:r>
      <w:r w:rsidRPr="003F1F8E">
        <w:rPr>
          <w:rFonts w:ascii="Times New Roman" w:hAnsi="Times New Roman" w:cs="Times New Roman"/>
          <w:sz w:val="24"/>
          <w:szCs w:val="24"/>
        </w:rPr>
        <w:lastRenderedPageBreak/>
        <w:t>without real world risks</w:t>
      </w:r>
      <w:sdt>
        <w:sdtPr>
          <w:rPr>
            <w:rFonts w:ascii="Times New Roman" w:hAnsi="Times New Roman" w:cs="Times New Roman"/>
            <w:sz w:val="24"/>
            <w:szCs w:val="24"/>
          </w:rPr>
          <w:id w:val="1047875186"/>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Ols10 \p 469 \m Kim18 \p 42 \m Ext18 \m Shu11 \p 93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(Olson, Scheller, Larson, Lindeke, &amp; Edwardson, 2010, p. 469; Kim, Song, Lockee, &amp; Burton, 2018, p. 42; Extra Credits, 2018; Shute &amp; Torres, 2011, p. 93)</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w:t>
      </w:r>
      <w:r w:rsidRPr="003F1F8E">
        <w:rPr>
          <w:rFonts w:ascii="Times New Roman" w:hAnsi="Times New Roman" w:cs="Times New Roman"/>
          <w:color w:val="C45911" w:themeColor="accent2" w:themeShade="BF"/>
          <w:sz w:val="24"/>
          <w:szCs w:val="24"/>
          <w:lang w:val="en-US"/>
        </w:rPr>
        <w:t xml:space="preserve"> </w:t>
      </w:r>
      <w:r w:rsidRPr="003F1F8E">
        <w:rPr>
          <w:rFonts w:ascii="Times New Roman" w:hAnsi="Times New Roman" w:cs="Times New Roman"/>
          <w:sz w:val="24"/>
          <w:szCs w:val="24"/>
          <w:lang w:val="en-US"/>
        </w:rPr>
        <w:t>This is particularly valuable for high risk, low opportunity situations</w:t>
      </w:r>
      <w:sdt>
        <w:sdtPr>
          <w:rPr>
            <w:rFonts w:ascii="Times New Roman" w:hAnsi="Times New Roman" w:cs="Times New Roman"/>
            <w:sz w:val="24"/>
            <w:szCs w:val="24"/>
            <w:lang w:val="en-US"/>
          </w:rPr>
          <w:id w:val="-667635036"/>
          <w:citation/>
        </w:sdtPr>
        <w:sdtEndPr/>
        <w:sdtContent>
          <w:r w:rsidRPr="003F1F8E">
            <w:rPr>
              <w:rFonts w:ascii="Times New Roman" w:hAnsi="Times New Roman" w:cs="Times New Roman"/>
              <w:sz w:val="24"/>
              <w:szCs w:val="24"/>
              <w:lang w:val="en-US"/>
            </w:rPr>
            <w:fldChar w:fldCharType="begin"/>
          </w:r>
          <w:r w:rsidRPr="003F1F8E">
            <w:rPr>
              <w:rFonts w:ascii="Times New Roman" w:hAnsi="Times New Roman" w:cs="Times New Roman"/>
              <w:sz w:val="24"/>
              <w:szCs w:val="24"/>
            </w:rPr>
            <w:instrText xml:space="preserve">CITATION Ols10 \p 477 \l 3081 </w:instrText>
          </w:r>
          <w:r w:rsidRPr="003F1F8E">
            <w:rPr>
              <w:rFonts w:ascii="Times New Roman" w:hAnsi="Times New Roman" w:cs="Times New Roman"/>
              <w:sz w:val="24"/>
              <w:szCs w:val="24"/>
              <w:lang w:val="en-US"/>
            </w:rPr>
            <w:fldChar w:fldCharType="separate"/>
          </w:r>
          <w:r w:rsidRPr="003F1F8E">
            <w:rPr>
              <w:rFonts w:ascii="Times New Roman" w:hAnsi="Times New Roman" w:cs="Times New Roman"/>
              <w:noProof/>
              <w:sz w:val="24"/>
              <w:szCs w:val="24"/>
            </w:rPr>
            <w:t xml:space="preserve"> (Olson, Scheller, Larson, Lindeke, &amp; Edwardson, 2010, p. 477)</w:t>
          </w:r>
          <w:r w:rsidRPr="003F1F8E">
            <w:rPr>
              <w:rFonts w:ascii="Times New Roman" w:hAnsi="Times New Roman" w:cs="Times New Roman"/>
              <w:sz w:val="24"/>
              <w:szCs w:val="24"/>
              <w:lang w:val="en-US"/>
            </w:rPr>
            <w:fldChar w:fldCharType="end"/>
          </w:r>
        </w:sdtContent>
      </w:sdt>
      <w:r w:rsidRPr="003F1F8E">
        <w:rPr>
          <w:rFonts w:ascii="Times New Roman" w:hAnsi="Times New Roman" w:cs="Times New Roman"/>
          <w:sz w:val="24"/>
          <w:szCs w:val="24"/>
          <w:lang w:val="en-US"/>
        </w:rPr>
        <w:t>. Simulations also allow for analysis and research of hypothetical situations, allowing the development of knowledge with real-world risk or exposure</w:t>
      </w:r>
      <w:sdt>
        <w:sdtPr>
          <w:rPr>
            <w:rFonts w:ascii="Times New Roman" w:hAnsi="Times New Roman" w:cs="Times New Roman"/>
            <w:sz w:val="24"/>
            <w:szCs w:val="24"/>
            <w:lang w:val="en-US"/>
          </w:rPr>
          <w:id w:val="-409532203"/>
          <w:citation/>
        </w:sdtPr>
        <w:sdtEndPr/>
        <w:sdtContent>
          <w:r w:rsidRPr="003F1F8E">
            <w:rPr>
              <w:rFonts w:ascii="Times New Roman" w:hAnsi="Times New Roman" w:cs="Times New Roman"/>
              <w:sz w:val="24"/>
              <w:szCs w:val="24"/>
              <w:lang w:val="en-US"/>
            </w:rPr>
            <w:fldChar w:fldCharType="begin"/>
          </w:r>
          <w:r w:rsidRPr="003F1F8E">
            <w:rPr>
              <w:rFonts w:ascii="Times New Roman" w:hAnsi="Times New Roman" w:cs="Times New Roman"/>
              <w:sz w:val="24"/>
              <w:szCs w:val="24"/>
            </w:rPr>
            <w:instrText xml:space="preserve"> CITATION Ext18 \l 3081 </w:instrText>
          </w:r>
          <w:r w:rsidRPr="003F1F8E">
            <w:rPr>
              <w:rFonts w:ascii="Times New Roman" w:hAnsi="Times New Roman" w:cs="Times New Roman"/>
              <w:sz w:val="24"/>
              <w:szCs w:val="24"/>
              <w:lang w:val="en-US"/>
            </w:rPr>
            <w:fldChar w:fldCharType="separate"/>
          </w:r>
          <w:r w:rsidRPr="003F1F8E">
            <w:rPr>
              <w:rFonts w:ascii="Times New Roman" w:hAnsi="Times New Roman" w:cs="Times New Roman"/>
              <w:noProof/>
              <w:sz w:val="24"/>
              <w:szCs w:val="24"/>
            </w:rPr>
            <w:t xml:space="preserve"> (Extra Credits, 2018)</w:t>
          </w:r>
          <w:r w:rsidRPr="003F1F8E">
            <w:rPr>
              <w:rFonts w:ascii="Times New Roman" w:hAnsi="Times New Roman" w:cs="Times New Roman"/>
              <w:sz w:val="24"/>
              <w:szCs w:val="24"/>
              <w:lang w:val="en-US"/>
            </w:rPr>
            <w:fldChar w:fldCharType="end"/>
          </w:r>
        </w:sdtContent>
      </w:sdt>
      <w:r w:rsidRPr="003F1F8E">
        <w:rPr>
          <w:rFonts w:ascii="Times New Roman" w:hAnsi="Times New Roman" w:cs="Times New Roman"/>
          <w:sz w:val="24"/>
          <w:szCs w:val="24"/>
          <w:lang w:val="en-US"/>
        </w:rPr>
        <w:t>. Consequently, more learners can be exposed to real-world authentic experiences than before, with the ability of reflection and practice, thus improving their levels of competency</w:t>
      </w:r>
      <w:sdt>
        <w:sdtPr>
          <w:rPr>
            <w:rFonts w:ascii="Times New Roman" w:hAnsi="Times New Roman" w:cs="Times New Roman"/>
            <w:sz w:val="24"/>
            <w:szCs w:val="24"/>
            <w:lang w:val="en-US"/>
          </w:rPr>
          <w:id w:val="1143239342"/>
          <w:citation/>
        </w:sdtPr>
        <w:sdtEndPr/>
        <w:sdtContent>
          <w:r w:rsidRPr="003F1F8E">
            <w:rPr>
              <w:rFonts w:ascii="Times New Roman" w:hAnsi="Times New Roman" w:cs="Times New Roman"/>
              <w:sz w:val="24"/>
              <w:szCs w:val="24"/>
              <w:lang w:val="en-US"/>
            </w:rPr>
            <w:fldChar w:fldCharType="begin"/>
          </w:r>
          <w:r w:rsidRPr="003F1F8E">
            <w:rPr>
              <w:rFonts w:ascii="Times New Roman" w:hAnsi="Times New Roman" w:cs="Times New Roman"/>
              <w:sz w:val="24"/>
              <w:szCs w:val="24"/>
            </w:rPr>
            <w:instrText xml:space="preserve">CITATION Ols10 \p 475 \l 3081 </w:instrText>
          </w:r>
          <w:r w:rsidRPr="003F1F8E">
            <w:rPr>
              <w:rFonts w:ascii="Times New Roman" w:hAnsi="Times New Roman" w:cs="Times New Roman"/>
              <w:sz w:val="24"/>
              <w:szCs w:val="24"/>
              <w:lang w:val="en-US"/>
            </w:rPr>
            <w:fldChar w:fldCharType="separate"/>
          </w:r>
          <w:r w:rsidRPr="003F1F8E">
            <w:rPr>
              <w:rFonts w:ascii="Times New Roman" w:hAnsi="Times New Roman" w:cs="Times New Roman"/>
              <w:noProof/>
              <w:sz w:val="24"/>
              <w:szCs w:val="24"/>
            </w:rPr>
            <w:t xml:space="preserve"> (Olson, Scheller, Larson, Lindeke, &amp; Edwardson, 2010, p. 475)</w:t>
          </w:r>
          <w:r w:rsidRPr="003F1F8E">
            <w:rPr>
              <w:rFonts w:ascii="Times New Roman" w:hAnsi="Times New Roman" w:cs="Times New Roman"/>
              <w:sz w:val="24"/>
              <w:szCs w:val="24"/>
              <w:lang w:val="en-US"/>
            </w:rPr>
            <w:fldChar w:fldCharType="end"/>
          </w:r>
        </w:sdtContent>
      </w:sdt>
      <w:r w:rsidRPr="003F1F8E">
        <w:rPr>
          <w:rFonts w:ascii="Times New Roman" w:hAnsi="Times New Roman" w:cs="Times New Roman"/>
          <w:sz w:val="24"/>
          <w:szCs w:val="24"/>
          <w:lang w:val="en-US"/>
        </w:rPr>
        <w:t>.</w:t>
      </w:r>
    </w:p>
    <w:p w14:paraId="51A26F6C" w14:textId="229CB86A" w:rsidR="00E853F5" w:rsidRPr="003F1F8E" w:rsidRDefault="00E853F5" w:rsidP="003F1F8E">
      <w:pPr>
        <w:spacing w:line="360" w:lineRule="auto"/>
        <w:jc w:val="both"/>
        <w:rPr>
          <w:rFonts w:ascii="Times New Roman" w:hAnsi="Times New Roman" w:cs="Times New Roman"/>
          <w:sz w:val="24"/>
          <w:szCs w:val="24"/>
        </w:rPr>
      </w:pPr>
      <w:r w:rsidRPr="003F1F8E">
        <w:rPr>
          <w:rFonts w:ascii="Times New Roman" w:hAnsi="Times New Roman" w:cs="Times New Roman"/>
          <w:sz w:val="24"/>
          <w:szCs w:val="24"/>
        </w:rPr>
        <w:t>As in most gaming, there a</w:t>
      </w:r>
      <w:r w:rsidR="00B81619" w:rsidRPr="003F1F8E">
        <w:rPr>
          <w:rFonts w:ascii="Times New Roman" w:hAnsi="Times New Roman" w:cs="Times New Roman"/>
          <w:sz w:val="24"/>
          <w:szCs w:val="24"/>
        </w:rPr>
        <w:t>re</w:t>
      </w:r>
      <w:r w:rsidRPr="003F1F8E">
        <w:rPr>
          <w:rFonts w:ascii="Times New Roman" w:hAnsi="Times New Roman" w:cs="Times New Roman"/>
          <w:sz w:val="24"/>
          <w:szCs w:val="24"/>
        </w:rPr>
        <w:t xml:space="preserve"> issues that follow into gamifying and using simulations in a learning environment. As with a range of technologies available for free, whilst is allows for greater participation</w:t>
      </w:r>
      <w:sdt>
        <w:sdtPr>
          <w:rPr>
            <w:rFonts w:ascii="Times New Roman" w:hAnsi="Times New Roman" w:cs="Times New Roman"/>
            <w:sz w:val="24"/>
            <w:szCs w:val="24"/>
          </w:rPr>
          <w:id w:val="-922256535"/>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Ols10 \p 477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(Olson, Scheller, Larson, Lindeke, &amp; Edwardson, 2010, p. 477)</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there are privacy risks, as well as risks brought in by participants including poor behaviour by grievers and rule-breakers</w:t>
      </w:r>
      <w:sdt>
        <w:sdtPr>
          <w:rPr>
            <w:rFonts w:ascii="Times New Roman" w:hAnsi="Times New Roman" w:cs="Times New Roman"/>
            <w:sz w:val="24"/>
            <w:szCs w:val="24"/>
          </w:rPr>
          <w:id w:val="-850563429"/>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54-56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54-56)</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w:t>
      </w:r>
      <w:r w:rsidRPr="003F1F8E">
        <w:rPr>
          <w:rFonts w:ascii="Times New Roman" w:hAnsi="Times New Roman" w:cs="Times New Roman"/>
          <w:color w:val="7030A0"/>
          <w:sz w:val="24"/>
          <w:szCs w:val="24"/>
        </w:rPr>
        <w:t xml:space="preserve"> </w:t>
      </w:r>
      <w:r w:rsidRPr="003F1F8E">
        <w:rPr>
          <w:rFonts w:ascii="Times New Roman" w:hAnsi="Times New Roman" w:cs="Times New Roman"/>
          <w:sz w:val="24"/>
          <w:szCs w:val="24"/>
        </w:rPr>
        <w:t>In addition, there is the concern that with the ability for learners to repeat learning activities without risk, that there may be learners who succeed due to significant attempts and chance, rather than having sufficient knowledge and skill</w:t>
      </w:r>
      <w:sdt>
        <w:sdtPr>
          <w:rPr>
            <w:rFonts w:ascii="Times New Roman" w:hAnsi="Times New Roman" w:cs="Times New Roman"/>
            <w:sz w:val="24"/>
            <w:szCs w:val="24"/>
          </w:rPr>
          <w:id w:val="-1943221244"/>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Ols10 \p 477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(Olson, Scheller, Larson, Lindeke, &amp; Edwardson, 2010, p. 477)</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Finally, there is the risk of poor engagement due to little or too much challenging, poor architecture, or a lack of effective feedback</w:t>
      </w:r>
      <w:sdt>
        <w:sdtPr>
          <w:rPr>
            <w:rFonts w:ascii="Times New Roman" w:hAnsi="Times New Roman" w:cs="Times New Roman"/>
            <w:sz w:val="24"/>
            <w:szCs w:val="24"/>
          </w:rPr>
          <w:id w:val="1363944188"/>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Kim18 \p "40, 41, 51"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(Kim, Song, Lockee, &amp; Burton, 2018, pp. 40, 41, 51)</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w:t>
      </w:r>
      <w:r w:rsidRPr="003F1F8E">
        <w:rPr>
          <w:rFonts w:ascii="Times New Roman" w:hAnsi="Times New Roman" w:cs="Times New Roman"/>
          <w:color w:val="7030A0"/>
          <w:sz w:val="24"/>
          <w:szCs w:val="24"/>
        </w:rPr>
        <w:t xml:space="preserve"> </w:t>
      </w:r>
      <w:r w:rsidRPr="003F1F8E">
        <w:rPr>
          <w:rFonts w:ascii="Times New Roman" w:hAnsi="Times New Roman" w:cs="Times New Roman"/>
          <w:sz w:val="24"/>
          <w:szCs w:val="24"/>
        </w:rPr>
        <w:t>Consequently, it is important that learning designers to not rely on gamification to solve learning issues but use it as an effective tool to support well considered pedagogy and learning structure. Gamification needs to be specific to the learning criteria, with clearly defined goals, appropriate support for learners, with the ability to monitor learners progress and behaviour</w:t>
      </w:r>
      <w:sdt>
        <w:sdtPr>
          <w:rPr>
            <w:rFonts w:ascii="Times New Roman" w:hAnsi="Times New Roman" w:cs="Times New Roman"/>
            <w:sz w:val="24"/>
            <w:szCs w:val="24"/>
          </w:rPr>
          <w:id w:val="-255442344"/>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Cos \p "106, 113" \m Shu11 \p 92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(Costello, 2018, pp. 106, 113; Shute &amp; Torres, 2011, p. 92)</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Gamification and simulation have been proven to be useful and effective tools, however it is vital that it is used to supplement and support learners in the learning, rather than provide a gimmick to falsely entice learners</w:t>
      </w:r>
      <w:sdt>
        <w:sdtPr>
          <w:rPr>
            <w:rFonts w:ascii="Times New Roman" w:hAnsi="Times New Roman" w:cs="Times New Roman"/>
            <w:sz w:val="24"/>
            <w:szCs w:val="24"/>
          </w:rPr>
          <w:id w:val="874736324"/>
          <w:citation/>
        </w:sdtPr>
        <w:sdtEndPr/>
        <w:sdtContent>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CITATION Cos \p 106 \l 3081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rPr>
            <w:t xml:space="preserve"> (Costello, 2018, p. 106)</w:t>
          </w:r>
          <w:r w:rsidRPr="003F1F8E">
            <w:rPr>
              <w:rFonts w:ascii="Times New Roman" w:hAnsi="Times New Roman" w:cs="Times New Roman"/>
              <w:sz w:val="24"/>
              <w:szCs w:val="24"/>
            </w:rPr>
            <w:fldChar w:fldCharType="end"/>
          </w:r>
        </w:sdtContent>
      </w:sdt>
      <w:r w:rsidRPr="003F1F8E">
        <w:rPr>
          <w:rFonts w:ascii="Times New Roman" w:hAnsi="Times New Roman" w:cs="Times New Roman"/>
          <w:sz w:val="24"/>
          <w:szCs w:val="24"/>
        </w:rPr>
        <w:t>. Without proper design, gamification and simulation will only prevent rather than enhance effective learning.</w:t>
      </w:r>
    </w:p>
    <w:p w14:paraId="465E8A71" w14:textId="10505647" w:rsidR="003F1F8E" w:rsidRDefault="003F1F8E">
      <w:pPr>
        <w:rPr>
          <w:rFonts w:ascii="Times New Roman" w:hAnsi="Times New Roman" w:cs="Times New Roman"/>
          <w:sz w:val="24"/>
          <w:szCs w:val="24"/>
        </w:rPr>
      </w:pPr>
      <w:r>
        <w:rPr>
          <w:rFonts w:ascii="Times New Roman" w:hAnsi="Times New Roman" w:cs="Times New Roman"/>
          <w:sz w:val="24"/>
          <w:szCs w:val="24"/>
        </w:rPr>
        <w:br w:type="page"/>
      </w:r>
    </w:p>
    <w:p w14:paraId="750A8F6C" w14:textId="77777777" w:rsidR="00E853F5" w:rsidRPr="003F1F8E" w:rsidRDefault="00E853F5" w:rsidP="003F1F8E">
      <w:pPr>
        <w:spacing w:line="360" w:lineRule="auto"/>
        <w:jc w:val="both"/>
        <w:rPr>
          <w:rFonts w:ascii="Times New Roman" w:hAnsi="Times New Roman" w:cs="Times New Roman"/>
          <w:sz w:val="24"/>
          <w:szCs w:val="24"/>
        </w:rPr>
      </w:pPr>
    </w:p>
    <w:sdt>
      <w:sdtPr>
        <w:rPr>
          <w:rFonts w:ascii="Times New Roman" w:eastAsiaTheme="minorHAnsi" w:hAnsi="Times New Roman" w:cs="Times New Roman"/>
          <w:color w:val="auto"/>
          <w:sz w:val="24"/>
          <w:szCs w:val="24"/>
          <w:lang w:val="en-AU"/>
        </w:rPr>
        <w:id w:val="-1276863647"/>
        <w:docPartObj>
          <w:docPartGallery w:val="Bibliographies"/>
          <w:docPartUnique/>
        </w:docPartObj>
      </w:sdtPr>
      <w:sdtEndPr/>
      <w:sdtContent>
        <w:p w14:paraId="735BFCC3" w14:textId="5AB4822C" w:rsidR="004A0289" w:rsidRPr="003F1F8E" w:rsidRDefault="004A0289" w:rsidP="003F1F8E">
          <w:pPr>
            <w:pStyle w:val="Heading1"/>
            <w:spacing w:line="360" w:lineRule="auto"/>
            <w:jc w:val="both"/>
            <w:rPr>
              <w:rFonts w:ascii="Times New Roman" w:hAnsi="Times New Roman" w:cs="Times New Roman"/>
              <w:b/>
              <w:bCs/>
              <w:color w:val="auto"/>
              <w:sz w:val="24"/>
              <w:szCs w:val="24"/>
            </w:rPr>
          </w:pPr>
          <w:r w:rsidRPr="003F1F8E">
            <w:rPr>
              <w:rFonts w:ascii="Times New Roman" w:hAnsi="Times New Roman" w:cs="Times New Roman"/>
              <w:b/>
              <w:bCs/>
              <w:color w:val="auto"/>
              <w:sz w:val="24"/>
              <w:szCs w:val="24"/>
            </w:rPr>
            <w:t>References</w:t>
          </w:r>
        </w:p>
        <w:sdt>
          <w:sdtPr>
            <w:rPr>
              <w:rFonts w:ascii="Times New Roman" w:hAnsi="Times New Roman" w:cs="Times New Roman"/>
              <w:sz w:val="24"/>
              <w:szCs w:val="24"/>
            </w:rPr>
            <w:id w:val="-573587230"/>
            <w:bibliography/>
          </w:sdtPr>
          <w:sdtEndPr/>
          <w:sdtContent>
            <w:p w14:paraId="6F368159" w14:textId="77777777" w:rsidR="004A0289" w:rsidRPr="003F1F8E" w:rsidRDefault="004A0289" w:rsidP="003F1F8E">
              <w:pPr>
                <w:pStyle w:val="Bibliography"/>
                <w:spacing w:line="360" w:lineRule="auto"/>
                <w:ind w:left="720" w:hanging="720"/>
                <w:jc w:val="both"/>
                <w:rPr>
                  <w:rFonts w:ascii="Times New Roman" w:hAnsi="Times New Roman" w:cs="Times New Roman"/>
                  <w:noProof/>
                  <w:sz w:val="24"/>
                  <w:szCs w:val="24"/>
                  <w:lang w:val="en-US"/>
                </w:rPr>
              </w:pPr>
              <w:r w:rsidRPr="003F1F8E">
                <w:rPr>
                  <w:rFonts w:ascii="Times New Roman" w:hAnsi="Times New Roman" w:cs="Times New Roman"/>
                  <w:sz w:val="24"/>
                  <w:szCs w:val="24"/>
                </w:rPr>
                <w:fldChar w:fldCharType="begin"/>
              </w:r>
              <w:r w:rsidRPr="003F1F8E">
                <w:rPr>
                  <w:rFonts w:ascii="Times New Roman" w:hAnsi="Times New Roman" w:cs="Times New Roman"/>
                  <w:sz w:val="24"/>
                  <w:szCs w:val="24"/>
                </w:rPr>
                <w:instrText xml:space="preserve"> BIBLIOGRAPHY </w:instrText>
              </w:r>
              <w:r w:rsidRPr="003F1F8E">
                <w:rPr>
                  <w:rFonts w:ascii="Times New Roman" w:hAnsi="Times New Roman" w:cs="Times New Roman"/>
                  <w:sz w:val="24"/>
                  <w:szCs w:val="24"/>
                </w:rPr>
                <w:fldChar w:fldCharType="separate"/>
              </w:r>
              <w:r w:rsidRPr="003F1F8E">
                <w:rPr>
                  <w:rFonts w:ascii="Times New Roman" w:hAnsi="Times New Roman" w:cs="Times New Roman"/>
                  <w:noProof/>
                  <w:sz w:val="24"/>
                  <w:szCs w:val="24"/>
                  <w:lang w:val="en-US"/>
                </w:rPr>
                <w:t xml:space="preserve">Costello, R. (2018). </w:t>
              </w:r>
              <w:r w:rsidRPr="003F1F8E">
                <w:rPr>
                  <w:rFonts w:ascii="Times New Roman" w:hAnsi="Times New Roman" w:cs="Times New Roman"/>
                  <w:i/>
                  <w:iCs/>
                  <w:noProof/>
                  <w:sz w:val="24"/>
                  <w:szCs w:val="24"/>
                  <w:lang w:val="en-US"/>
                </w:rPr>
                <w:t>Gaming Innovations in Higher Education.</w:t>
              </w:r>
              <w:r w:rsidRPr="003F1F8E">
                <w:rPr>
                  <w:rFonts w:ascii="Times New Roman" w:hAnsi="Times New Roman" w:cs="Times New Roman"/>
                  <w:noProof/>
                  <w:sz w:val="24"/>
                  <w:szCs w:val="24"/>
                  <w:lang w:val="en-US"/>
                </w:rPr>
                <w:t xml:space="preserve"> Hershey, USA: IGI Global.</w:t>
              </w:r>
            </w:p>
            <w:p w14:paraId="190D351C" w14:textId="77777777" w:rsidR="004A0289" w:rsidRPr="003F1F8E" w:rsidRDefault="004A0289" w:rsidP="003F1F8E">
              <w:pPr>
                <w:pStyle w:val="Bibliography"/>
                <w:spacing w:line="360" w:lineRule="auto"/>
                <w:ind w:left="720" w:hanging="720"/>
                <w:jc w:val="both"/>
                <w:rPr>
                  <w:rFonts w:ascii="Times New Roman" w:hAnsi="Times New Roman" w:cs="Times New Roman"/>
                  <w:noProof/>
                  <w:sz w:val="24"/>
                  <w:szCs w:val="24"/>
                  <w:lang w:val="en-US"/>
                </w:rPr>
              </w:pPr>
              <w:r w:rsidRPr="003F1F8E">
                <w:rPr>
                  <w:rFonts w:ascii="Times New Roman" w:hAnsi="Times New Roman" w:cs="Times New Roman"/>
                  <w:noProof/>
                  <w:sz w:val="24"/>
                  <w:szCs w:val="24"/>
                  <w:lang w:val="en-US"/>
                </w:rPr>
                <w:t xml:space="preserve">Extra Credits. (2018). </w:t>
              </w:r>
              <w:r w:rsidRPr="003F1F8E">
                <w:rPr>
                  <w:rFonts w:ascii="Times New Roman" w:hAnsi="Times New Roman" w:cs="Times New Roman"/>
                  <w:i/>
                  <w:iCs/>
                  <w:noProof/>
                  <w:sz w:val="24"/>
                  <w:szCs w:val="24"/>
                  <w:lang w:val="en-US"/>
                </w:rPr>
                <w:t>World of Warcraft Epidemology - The Corrupted Blood Plauge (And Why It Matters)</w:t>
              </w:r>
              <w:r w:rsidRPr="003F1F8E">
                <w:rPr>
                  <w:rFonts w:ascii="Times New Roman" w:hAnsi="Times New Roman" w:cs="Times New Roman"/>
                  <w:noProof/>
                  <w:sz w:val="24"/>
                  <w:szCs w:val="24"/>
                  <w:lang w:val="en-US"/>
                </w:rPr>
                <w:t>. Retrieved from https://www.youtube.com/watch?v=YNhP5b9YafM</w:t>
              </w:r>
            </w:p>
            <w:p w14:paraId="2ABB3DBA" w14:textId="77777777" w:rsidR="004A0289" w:rsidRPr="003F1F8E" w:rsidRDefault="004A0289" w:rsidP="003F1F8E">
              <w:pPr>
                <w:pStyle w:val="Bibliography"/>
                <w:spacing w:line="360" w:lineRule="auto"/>
                <w:ind w:left="720" w:hanging="720"/>
                <w:jc w:val="both"/>
                <w:rPr>
                  <w:rFonts w:ascii="Times New Roman" w:hAnsi="Times New Roman" w:cs="Times New Roman"/>
                  <w:noProof/>
                  <w:sz w:val="24"/>
                  <w:szCs w:val="24"/>
                  <w:lang w:val="en-US"/>
                </w:rPr>
              </w:pPr>
              <w:r w:rsidRPr="003F1F8E">
                <w:rPr>
                  <w:rFonts w:ascii="Times New Roman" w:hAnsi="Times New Roman" w:cs="Times New Roman"/>
                  <w:noProof/>
                  <w:sz w:val="24"/>
                  <w:szCs w:val="24"/>
                  <w:lang w:val="en-US"/>
                </w:rPr>
                <w:t xml:space="preserve">Kim, S., Song, K., Lockee, B., &amp; Burton, J. (2018). </w:t>
              </w:r>
              <w:r w:rsidRPr="003F1F8E">
                <w:rPr>
                  <w:rFonts w:ascii="Times New Roman" w:hAnsi="Times New Roman" w:cs="Times New Roman"/>
                  <w:i/>
                  <w:iCs/>
                  <w:noProof/>
                  <w:sz w:val="24"/>
                  <w:szCs w:val="24"/>
                  <w:lang w:val="en-US"/>
                </w:rPr>
                <w:t>Gamification in Learning and Education: Enjoy Learning Like Gaming.</w:t>
              </w:r>
              <w:r w:rsidRPr="003F1F8E">
                <w:rPr>
                  <w:rFonts w:ascii="Times New Roman" w:hAnsi="Times New Roman" w:cs="Times New Roman"/>
                  <w:noProof/>
                  <w:sz w:val="24"/>
                  <w:szCs w:val="24"/>
                  <w:lang w:val="en-US"/>
                </w:rPr>
                <w:t xml:space="preserve"> Switzerland: Springer. doi:10.1007/978-3-319-47283-6</w:t>
              </w:r>
            </w:p>
            <w:p w14:paraId="6C3BD824" w14:textId="77777777" w:rsidR="004A0289" w:rsidRPr="003F1F8E" w:rsidRDefault="004A0289" w:rsidP="003F1F8E">
              <w:pPr>
                <w:pStyle w:val="Bibliography"/>
                <w:spacing w:line="360" w:lineRule="auto"/>
                <w:ind w:left="720" w:hanging="720"/>
                <w:jc w:val="both"/>
                <w:rPr>
                  <w:rFonts w:ascii="Times New Roman" w:hAnsi="Times New Roman" w:cs="Times New Roman"/>
                  <w:noProof/>
                  <w:sz w:val="24"/>
                  <w:szCs w:val="24"/>
                  <w:lang w:val="en-US"/>
                </w:rPr>
              </w:pPr>
              <w:r w:rsidRPr="003F1F8E">
                <w:rPr>
                  <w:rFonts w:ascii="Times New Roman" w:hAnsi="Times New Roman" w:cs="Times New Roman"/>
                  <w:noProof/>
                  <w:sz w:val="24"/>
                  <w:szCs w:val="24"/>
                  <w:lang w:val="en-US"/>
                </w:rPr>
                <w:t xml:space="preserve">Olson, D. K., Scheller, A., Larson, S., Lindeke, L., &amp; Edwardson, S. (2010). Using Gaming Simulation to Evaluate Bioterrorism and Emergency. </w:t>
              </w:r>
              <w:r w:rsidRPr="003F1F8E">
                <w:rPr>
                  <w:rFonts w:ascii="Times New Roman" w:hAnsi="Times New Roman" w:cs="Times New Roman"/>
                  <w:i/>
                  <w:iCs/>
                  <w:noProof/>
                  <w:sz w:val="24"/>
                  <w:szCs w:val="24"/>
                  <w:lang w:val="en-US"/>
                </w:rPr>
                <w:t>Public Health Reports, 125</w:t>
              </w:r>
              <w:r w:rsidRPr="003F1F8E">
                <w:rPr>
                  <w:rFonts w:ascii="Times New Roman" w:hAnsi="Times New Roman" w:cs="Times New Roman"/>
                  <w:noProof/>
                  <w:sz w:val="24"/>
                  <w:szCs w:val="24"/>
                  <w:lang w:val="en-US"/>
                </w:rPr>
                <w:t>, 468-477.</w:t>
              </w:r>
            </w:p>
            <w:p w14:paraId="4EDFD989" w14:textId="77777777" w:rsidR="004A0289" w:rsidRPr="003F1F8E" w:rsidRDefault="004A0289" w:rsidP="003F1F8E">
              <w:pPr>
                <w:pStyle w:val="Bibliography"/>
                <w:spacing w:line="360" w:lineRule="auto"/>
                <w:ind w:left="720" w:hanging="720"/>
                <w:jc w:val="both"/>
                <w:rPr>
                  <w:rFonts w:ascii="Times New Roman" w:hAnsi="Times New Roman" w:cs="Times New Roman"/>
                  <w:noProof/>
                  <w:sz w:val="24"/>
                  <w:szCs w:val="24"/>
                  <w:lang w:val="en-US"/>
                </w:rPr>
              </w:pPr>
              <w:r w:rsidRPr="003F1F8E">
                <w:rPr>
                  <w:rFonts w:ascii="Times New Roman" w:hAnsi="Times New Roman" w:cs="Times New Roman"/>
                  <w:noProof/>
                  <w:sz w:val="24"/>
                  <w:szCs w:val="24"/>
                  <w:lang w:val="en-US"/>
                </w:rPr>
                <w:t xml:space="preserve">Shute, V. J., &amp; Torres, R. J. (2011). Chapter 4: Where Streams Converge: Using Evidence-Centered Design to Assess Quest to Learn. In </w:t>
              </w:r>
              <w:r w:rsidRPr="003F1F8E">
                <w:rPr>
                  <w:rFonts w:ascii="Times New Roman" w:hAnsi="Times New Roman" w:cs="Times New Roman"/>
                  <w:i/>
                  <w:iCs/>
                  <w:noProof/>
                  <w:sz w:val="24"/>
                  <w:szCs w:val="24"/>
                  <w:lang w:val="en-US"/>
                </w:rPr>
                <w:t>Technology-Based Assessments for 21st Century Skills</w:t>
              </w:r>
              <w:r w:rsidRPr="003F1F8E">
                <w:rPr>
                  <w:rFonts w:ascii="Times New Roman" w:hAnsi="Times New Roman" w:cs="Times New Roman"/>
                  <w:noProof/>
                  <w:sz w:val="24"/>
                  <w:szCs w:val="24"/>
                  <w:lang w:val="en-US"/>
                </w:rPr>
                <w:t xml:space="preserve"> (pp. 91-124). Charlotte, USA: Information Age Publishing.</w:t>
              </w:r>
            </w:p>
            <w:p w14:paraId="7CA92B5E" w14:textId="77777777" w:rsidR="004A0289" w:rsidRPr="003F1F8E" w:rsidRDefault="004A0289" w:rsidP="003F1F8E">
              <w:pPr>
                <w:pStyle w:val="Bibliography"/>
                <w:spacing w:line="360" w:lineRule="auto"/>
                <w:ind w:left="720" w:hanging="720"/>
                <w:jc w:val="both"/>
                <w:rPr>
                  <w:rFonts w:ascii="Times New Roman" w:hAnsi="Times New Roman" w:cs="Times New Roman"/>
                  <w:noProof/>
                  <w:sz w:val="24"/>
                  <w:szCs w:val="24"/>
                  <w:lang w:val="en-US"/>
                </w:rPr>
              </w:pPr>
              <w:r w:rsidRPr="003F1F8E">
                <w:rPr>
                  <w:rFonts w:ascii="Times New Roman" w:hAnsi="Times New Roman" w:cs="Times New Roman"/>
                  <w:i/>
                  <w:iCs/>
                  <w:noProof/>
                  <w:sz w:val="24"/>
                  <w:szCs w:val="24"/>
                  <w:lang w:val="en-US"/>
                </w:rPr>
                <w:t>Welcome to Minecraft: Education Edition</w:t>
              </w:r>
              <w:r w:rsidRPr="003F1F8E">
                <w:rPr>
                  <w:rFonts w:ascii="Times New Roman" w:hAnsi="Times New Roman" w:cs="Times New Roman"/>
                  <w:noProof/>
                  <w:sz w:val="24"/>
                  <w:szCs w:val="24"/>
                  <w:lang w:val="en-US"/>
                </w:rPr>
                <w:t>. (2020). Retrieved from Minecraft Education Edition: https://education.minecraft.net/</w:t>
              </w:r>
            </w:p>
            <w:p w14:paraId="2AFCB396" w14:textId="5C022E3B" w:rsidR="004A0289" w:rsidRPr="003F1F8E" w:rsidRDefault="004A0289" w:rsidP="003F1F8E">
              <w:pPr>
                <w:spacing w:line="360" w:lineRule="auto"/>
                <w:jc w:val="both"/>
                <w:rPr>
                  <w:rFonts w:ascii="Times New Roman" w:hAnsi="Times New Roman" w:cs="Times New Roman"/>
                  <w:sz w:val="24"/>
                  <w:szCs w:val="24"/>
                </w:rPr>
              </w:pPr>
              <w:r w:rsidRPr="003F1F8E">
                <w:rPr>
                  <w:rFonts w:ascii="Times New Roman" w:hAnsi="Times New Roman" w:cs="Times New Roman"/>
                  <w:b/>
                  <w:bCs/>
                  <w:noProof/>
                  <w:sz w:val="24"/>
                  <w:szCs w:val="24"/>
                </w:rPr>
                <w:fldChar w:fldCharType="end"/>
              </w:r>
            </w:p>
          </w:sdtContent>
        </w:sdt>
      </w:sdtContent>
    </w:sdt>
    <w:p w14:paraId="16CF33D4" w14:textId="77777777" w:rsidR="004A0289" w:rsidRPr="003F1F8E" w:rsidRDefault="004A0289" w:rsidP="003F1F8E">
      <w:pPr>
        <w:spacing w:line="360" w:lineRule="auto"/>
        <w:jc w:val="both"/>
        <w:rPr>
          <w:rFonts w:ascii="Times New Roman" w:hAnsi="Times New Roman" w:cs="Times New Roman"/>
          <w:sz w:val="24"/>
          <w:szCs w:val="24"/>
        </w:rPr>
      </w:pPr>
    </w:p>
    <w:sectPr w:rsidR="004A0289" w:rsidRPr="003F1F8E" w:rsidSect="003F1F8E">
      <w:pgSz w:w="11906" w:h="16838"/>
      <w:pgMar w:top="1440" w:right="1133"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6DA"/>
    <w:rsid w:val="00393864"/>
    <w:rsid w:val="003F1F8E"/>
    <w:rsid w:val="004A0289"/>
    <w:rsid w:val="004E46DA"/>
    <w:rsid w:val="00B81619"/>
    <w:rsid w:val="00D90BBD"/>
    <w:rsid w:val="00E853F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3F87"/>
  <w15:chartTrackingRefBased/>
  <w15:docId w15:val="{ECF7743E-D984-4308-A401-192A915F3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6DA"/>
  </w:style>
  <w:style w:type="paragraph" w:styleId="Heading1">
    <w:name w:val="heading 1"/>
    <w:basedOn w:val="Normal"/>
    <w:next w:val="Normal"/>
    <w:link w:val="Heading1Char"/>
    <w:uiPriority w:val="9"/>
    <w:qFormat/>
    <w:rsid w:val="004A0289"/>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289"/>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4A0289"/>
  </w:style>
  <w:style w:type="paragraph" w:styleId="BalloonText">
    <w:name w:val="Balloon Text"/>
    <w:basedOn w:val="Normal"/>
    <w:link w:val="BalloonTextChar"/>
    <w:uiPriority w:val="99"/>
    <w:semiHidden/>
    <w:unhideWhenUsed/>
    <w:rsid w:val="003938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8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31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Ols10</b:Tag>
    <b:SourceType>JournalArticle</b:SourceType>
    <b:Guid>{2ABF4AD9-1066-4FB0-9DF3-CB12CC8EB187}</b:Guid>
    <b:Title>Using Gaming Simulation to Evaluate Bioterrorism and Emergency</b:Title>
    <b:JournalName>Public Health Reports</b:JournalName>
    <b:Year>2010</b:Year>
    <b:Pages>468-477</b:Pages>
    <b:Author>
      <b:Author>
        <b:NameList>
          <b:Person>
            <b:Last>Olson</b:Last>
            <b:Middle>K.</b:Middle>
            <b:First>Debra</b:First>
          </b:Person>
          <b:Person>
            <b:Last>Scheller</b:Last>
            <b:First>Amy</b:First>
          </b:Person>
          <b:Person>
            <b:Last>Larson</b:Last>
            <b:First>Susan</b:First>
          </b:Person>
          <b:Person>
            <b:Last>Lindeke</b:Last>
            <b:First>Linda</b:First>
          </b:Person>
          <b:Person>
            <b:Last>Edwardson</b:Last>
            <b:First>Sandra</b:First>
          </b:Person>
        </b:NameList>
      </b:Author>
    </b:Author>
    <b:Volume>125</b:Volume>
    <b:RefOrder>5</b:RefOrder>
  </b:Source>
  <b:Source>
    <b:Tag>Kim18</b:Tag>
    <b:SourceType>Book</b:SourceType>
    <b:Guid>{3353D88A-FC62-4B38-8969-E24DC358E810}</b:Guid>
    <b:Title>Gamification in Learning and Education: Enjoy Learning Like Gaming</b:Title>
    <b:Year>2018</b:Year>
    <b:Author>
      <b:Author>
        <b:NameList>
          <b:Person>
            <b:Last>Kim</b:Last>
            <b:First>Sangkyun</b:First>
          </b:Person>
          <b:Person>
            <b:Last>Song</b:Last>
            <b:First>Kibong</b:First>
          </b:Person>
          <b:Person>
            <b:Last>Lockee</b:Last>
            <b:First>Barbara</b:First>
          </b:Person>
          <b:Person>
            <b:Last>Burton</b:Last>
            <b:First>John</b:First>
          </b:Person>
        </b:NameList>
      </b:Author>
    </b:Author>
    <b:Publisher>Springer</b:Publisher>
    <b:CountryRegion>Switzerland</b:CountryRegion>
    <b:DOI>10.1007/978-3-319-47283-6</b:DOI>
    <b:RefOrder>1</b:RefOrder>
  </b:Source>
  <b:Source>
    <b:Tag>Wel20</b:Tag>
    <b:SourceType>InternetSite</b:SourceType>
    <b:Guid>{9E55A0AB-9ACE-48F1-8504-2A3C73BFC465}</b:Guid>
    <b:Title>Welcome to Minecraft: Education Edition</b:Title>
    <b:InternetSiteTitle>Minecraft Education Edition</b:InternetSiteTitle>
    <b:Year>2020</b:Year>
    <b:URL>https://education.minecraft.net/</b:URL>
    <b:RefOrder>2</b:RefOrder>
  </b:Source>
  <b:Source>
    <b:Tag>Cos</b:Tag>
    <b:SourceType>Book</b:SourceType>
    <b:Guid>{693E1027-3B47-4782-A36A-0232E72E5CB6}</b:Guid>
    <b:Title>Gaming Innovations in Higher Education</b:Title>
    <b:Author>
      <b:Author>
        <b:NameList>
          <b:Person>
            <b:Last>Costello</b:Last>
            <b:First>Robert</b:First>
          </b:Person>
        </b:NameList>
      </b:Author>
    </b:Author>
    <b:Year>2018</b:Year>
    <b:City>Hershey</b:City>
    <b:Publisher>IGI Global</b:Publisher>
    <b:CountryRegion>USA</b:CountryRegion>
    <b:RefOrder>3</b:RefOrder>
  </b:Source>
  <b:Source>
    <b:Tag>Shu11</b:Tag>
    <b:SourceType>BookSection</b:SourceType>
    <b:Guid>{CEF65C28-ED4E-40F8-BA3A-BC455470593E}</b:Guid>
    <b:Title>Chapter 4: Where Streams Converge: Using Evidence-Centered Design to Assess Quest to Learn</b:Title>
    <b:Year>2011</b:Year>
    <b:Publisher>Information Age Publishing</b:Publisher>
    <b:BookTitle>Technology-Based Assessments for 21st Century Skills</b:BookTitle>
    <b:Pages>91-124</b:Pages>
    <b:Author>
      <b:Author>
        <b:NameList>
          <b:Person>
            <b:Last>Shute</b:Last>
            <b:Middle>J</b:Middle>
            <b:First>Valerie</b:First>
          </b:Person>
          <b:Person>
            <b:Last>Torres</b:Last>
            <b:Middle>J</b:Middle>
            <b:First>Robert</b:First>
          </b:Person>
        </b:NameList>
      </b:Author>
    </b:Author>
    <b:City>Charlotte</b:City>
    <b:CountryRegion>USA</b:CountryRegion>
    <b:RefOrder>4</b:RefOrder>
  </b:Source>
  <b:Source>
    <b:Tag>Ext18</b:Tag>
    <b:SourceType>InternetSite</b:SourceType>
    <b:Guid>{D5579525-B0C5-4270-B9AF-7775DBD4C3A5}</b:Guid>
    <b:Year>2018</b:Year>
    <b:URL>https://www.youtube.com/watch?v=YNhP5b9YafM</b:URL>
    <b:Author>
      <b:Author>
        <b:NameList>
          <b:Person>
            <b:Last>Extra Credits</b:Last>
          </b:Person>
        </b:NameList>
      </b:Author>
    </b:Author>
    <b:Title>World of Warcraft Epidemology - The Corrupted Blood Plauge (And Why It Matters)</b:Title>
    <b:RefOrder>6</b:RefOrder>
  </b:Source>
</b:Sources>
</file>

<file path=customXml/itemProps1.xml><?xml version="1.0" encoding="utf-8"?>
<ds:datastoreItem xmlns:ds="http://schemas.openxmlformats.org/officeDocument/2006/customXml" ds:itemID="{E8A88E83-670E-4546-A2B5-5C6F641C3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1203</TotalTime>
  <Pages>3</Pages>
  <Words>1087</Words>
  <Characters>6198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Selic</dc:creator>
  <cp:keywords/>
  <dc:description/>
  <cp:lastModifiedBy> </cp:lastModifiedBy>
  <cp:revision>5</cp:revision>
  <dcterms:created xsi:type="dcterms:W3CDTF">2020-09-11T13:21:00Z</dcterms:created>
  <dcterms:modified xsi:type="dcterms:W3CDTF">2020-09-14T11:33:00Z</dcterms:modified>
</cp:coreProperties>
</file>